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E15F" w14:textId="477E2C4B" w:rsidR="00E0434E" w:rsidRDefault="000E7263" w:rsidP="00647A7B">
      <w:pPr>
        <w:pStyle w:val="NormalWeb"/>
        <w:ind w:firstLin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Contract nr. </w:t>
      </w:r>
    </w:p>
    <w:p w14:paraId="7839C1F7" w14:textId="77777777" w:rsidR="00E0434E" w:rsidRDefault="000E726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încheiat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Consumatorul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noncasnic</w:t>
      </w:r>
      <w:proofErr w:type="spellEnd"/>
    </w:p>
    <w:p w14:paraId="5AD3135F" w14:textId="118DF3FD" w:rsidR="00E0434E" w:rsidRDefault="00E0434E">
      <w:pPr>
        <w:spacing w:after="0" w:line="240" w:lineRule="auto"/>
        <w:jc w:val="center"/>
        <w:rPr>
          <w:b/>
          <w:bCs/>
          <w:lang w:val="en-US"/>
        </w:rPr>
      </w:pPr>
    </w:p>
    <w:p w14:paraId="0DD5DE8B" w14:textId="77777777" w:rsidR="00DD5B50" w:rsidRDefault="00DD5B50">
      <w:pPr>
        <w:spacing w:after="0" w:line="240" w:lineRule="auto"/>
        <w:jc w:val="center"/>
        <w:rPr>
          <w:b/>
          <w:bCs/>
          <w:lang w:val="en-US"/>
        </w:rPr>
      </w:pPr>
    </w:p>
    <w:p w14:paraId="6E9AFA0D" w14:textId="15E9C39B" w:rsidR="00E0434E" w:rsidRDefault="000E7263">
      <w:pPr>
        <w:pStyle w:val="NormalWeb"/>
        <w:ind w:firstLine="0"/>
        <w:rPr>
          <w:b/>
          <w:lang w:val="ro-RO"/>
        </w:rPr>
      </w:pPr>
      <w:r>
        <w:rPr>
          <w:b/>
          <w:bCs/>
          <w:lang w:val="en-US"/>
        </w:rPr>
        <w:t xml:space="preserve">       </w:t>
      </w:r>
      <w:r w:rsidR="00984065">
        <w:rPr>
          <w:b/>
          <w:bCs/>
          <w:lang w:val="en-US"/>
        </w:rPr>
        <w:t>______________</w:t>
      </w:r>
      <w:r>
        <w:rPr>
          <w:b/>
          <w:lang w:val="ro-RO"/>
        </w:rPr>
        <w:t xml:space="preserve">   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</w:t>
      </w:r>
      <w:r w:rsidR="001D08AA">
        <w:rPr>
          <w:b/>
          <w:lang w:val="ro-RO"/>
        </w:rPr>
        <w:t xml:space="preserve">    </w:t>
      </w:r>
      <w:r>
        <w:rPr>
          <w:b/>
          <w:lang w:val="ro-RO"/>
        </w:rPr>
        <w:t xml:space="preserve">  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       mun.Chişinău</w:t>
      </w:r>
    </w:p>
    <w:p w14:paraId="18CB993F" w14:textId="77777777" w:rsidR="00482E45" w:rsidRDefault="00482E45" w:rsidP="00482E4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E9CB77F" w14:textId="392D4562" w:rsidR="00E0434E" w:rsidRDefault="00984065" w:rsidP="00482E45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>___________</w:t>
      </w:r>
      <w:r w:rsidR="000E72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E7263">
        <w:rPr>
          <w:rFonts w:ascii="Times New Roman" w:hAnsi="Times New Roman" w:cs="Times New Roman"/>
          <w:sz w:val="24"/>
          <w:szCs w:val="24"/>
          <w:lang w:val="en-US"/>
        </w:rPr>
        <w:t>reprezentată</w:t>
      </w:r>
      <w:proofErr w:type="spellEnd"/>
      <w:r w:rsidR="000E72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persoana directorului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_________</w:t>
      </w:r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care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acţionează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baza statutului, denumită în continuare </w:t>
      </w:r>
      <w:r w:rsidR="000E726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“Furnizor”</w:t>
      </w:r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pe de o parte </w:t>
      </w:r>
    </w:p>
    <w:p w14:paraId="0D38752E" w14:textId="77777777" w:rsidR="00E0434E" w:rsidRDefault="000E7263">
      <w:pPr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</w:p>
    <w:p w14:paraId="49F42ADF" w14:textId="77777777" w:rsidR="00E0434E" w:rsidRDefault="00DE369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D5AAA">
        <w:rPr>
          <w:rFonts w:ascii="Times New Roman" w:hAnsi="Times New Roman"/>
          <w:b/>
          <w:sz w:val="24"/>
          <w:szCs w:val="24"/>
          <w:lang w:val="ro-MD"/>
        </w:rPr>
        <w:t xml:space="preserve">ÎM „Efes Vitanta Moldova Brewery” S.A. </w:t>
      </w:r>
      <w:r w:rsidRPr="00BD5A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reprezentată în persoana Directorului General </w:t>
      </w:r>
      <w:r w:rsidRPr="00BD5AAA">
        <w:rPr>
          <w:rFonts w:ascii="Times New Roman" w:hAnsi="Times New Roman" w:cs="Times New Roman"/>
          <w:b/>
          <w:sz w:val="24"/>
          <w:szCs w:val="24"/>
          <w:lang w:val="ro-MD"/>
        </w:rPr>
        <w:t>Alphan Akpece</w:t>
      </w:r>
      <w:r w:rsidRPr="00BD5A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care  acţionează</w:t>
      </w:r>
      <w:r w:rsidRPr="002635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baza statutului, denumită în continuare “</w:t>
      </w:r>
      <w:r w:rsidRPr="002635F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Consumator noncasnic</w:t>
      </w:r>
      <w:r w:rsidRPr="002635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”, pe de altă parte, ambele denumite în continuare </w:t>
      </w:r>
      <w:r w:rsidRPr="002635F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„Părţi”</w:t>
      </w:r>
      <w:r w:rsidRPr="002635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au încheiat prezentul contract cu privire la următoarele. </w:t>
      </w:r>
      <w:r w:rsidR="000E72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14:paraId="371D7997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Obiectul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Contractului</w:t>
      </w:r>
      <w:proofErr w:type="spellEnd"/>
    </w:p>
    <w:p w14:paraId="00CE61C3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889296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raporturilor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105B9F9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cerinţele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stipulate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nr. 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Contract,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luându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precedente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23BC3FD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convenit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târziu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începutul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examineze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propunerile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majorare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indicate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nr. 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Contract.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majorarea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satisfăcută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solicitate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înregistrează datorii scadente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07EADE8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indicate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nr. 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Contract, care n-au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indicate,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867F669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27650B07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civil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Energetică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Contract.</w:t>
      </w:r>
    </w:p>
    <w:p w14:paraId="6A64C47C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36D2CB0C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evidenţă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natural</w:t>
      </w:r>
    </w:p>
    <w:p w14:paraId="4FC46AD1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D42BD80" w14:textId="51ECF1D4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Repartizarea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reieşind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 w:rsidR="00F83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diurne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neproporţională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înţelegerea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reciprocă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446CAEB7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recepţionate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trecerii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delimitare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Hotărîrea ANRE nr.112/2019 din 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2019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18778CC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zi,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definitiv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sfârşitul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-un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act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bilateral de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predare-primire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reprezentantul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de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exemplare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câte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unul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pentru fiecare parte.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standard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293,15°K (20°C)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101325 Pa (760 mm Hg)). </w:t>
      </w:r>
    </w:p>
    <w:p w14:paraId="3D618B0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divergenţelor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apărute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semnându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refuză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refuzul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reprezentantului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asistării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asistat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621EB333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îndeplinească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evidenţă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un an. </w:t>
      </w:r>
    </w:p>
    <w:p w14:paraId="4ECDA5CF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control,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evidenţă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25EE0D3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funcționează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pînă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11:00,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precedentă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următoarea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săptămână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4CE3C456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considerate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exploatează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instrucţiunilor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Orice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substituirea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cercetarea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diafragmelor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contoarelor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corectoarelor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documenta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cerinţele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dispozitivele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închidere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-verbal de dare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8EFEE3C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denaturarea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modalităţi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calculeze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nemăsurat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7934938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permisiunea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Înlăturarea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act bilateral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exemplare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Responsabilitatea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poartă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386C9F8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reieşind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capacitatea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utilajului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nesigilat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3A30714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care,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expertiză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expertizei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extrajudiciare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respective,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similare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coeficienţi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meteorologice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sens.</w:t>
      </w:r>
      <w:proofErr w:type="spellEnd"/>
    </w:p>
    <w:p w14:paraId="6F779BD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valabile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care,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motivul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acţiunilor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inacţiunilor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preîntâmpinat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prealabil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OSD,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periodic,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mijloacelor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obligatoriu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potrivit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violate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A1A300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Cuantumul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debitului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corespundă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diapazonului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05F71D6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delimitare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delimitare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reţelelor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stabileşte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gazoductul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existent.</w:t>
      </w:r>
    </w:p>
    <w:p w14:paraId="7430C40C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 </w:t>
      </w:r>
    </w:p>
    <w:p w14:paraId="0DDDFE51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consumului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187229F1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BFC516" w14:textId="4EC0C355" w:rsidR="00E0434E" w:rsidRPr="00DD5B50" w:rsidRDefault="000E7263" w:rsidP="00CA3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zh-CN" w:eastAsia="ru-RU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Gazele naturale consumate se facturează la prețul convenit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zh-CN" w:eastAsia="ru-RU"/>
        </w:rPr>
        <w:t>Părți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.</w:t>
      </w:r>
      <w:r>
        <w:rPr>
          <w:rFonts w:ascii="Times New Roman" w:eastAsia="Times New Roman" w:hAnsi="Times New Roman" w:cs="Times New Roman"/>
          <w:lang w:val="zh-CN" w:eastAsia="ru-RU"/>
        </w:rPr>
        <w:t xml:space="preserve"> Prețul contractul poate fi modificat prin încheierea unui acord adițional la Contract. </w:t>
      </w:r>
      <w:r w:rsidR="00CA38C2" w:rsidRPr="00CA38C2">
        <w:rPr>
          <w:rFonts w:ascii="Times New Roman" w:eastAsia="Times New Roman" w:hAnsi="Times New Roman" w:cs="Times New Roman"/>
          <w:lang w:val="ro-RO" w:eastAsia="ru-RU"/>
        </w:rPr>
        <w:t>Prețul de furnizare a gazelor naturale pentru devierile lunare în cazul depășirii nivelului de toleranță cu 10% a volumului planificat de gaz natural consumat, nu poate depăși 5% de la prețul stabilit în prezentul contract și/sau anexă.</w:t>
      </w:r>
      <w:r w:rsidR="00A70D38">
        <w:rPr>
          <w:rFonts w:ascii="Times New Roman" w:eastAsia="Times New Roman" w:hAnsi="Times New Roman" w:cs="Times New Roman"/>
          <w:lang w:val="ro-RO" w:eastAsia="ru-RU"/>
        </w:rPr>
        <w:t xml:space="preserve"> </w:t>
      </w:r>
    </w:p>
    <w:p w14:paraId="4DF8C238" w14:textId="19F24E1F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A70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70D38" w:rsidRPr="00A70D3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este exprimat în lei</w:t>
      </w:r>
      <w:r w:rsidR="008918D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moldovenești</w:t>
      </w:r>
      <w:r w:rsidR="00A70D38" w:rsidRPr="00A70D3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 1000 m</w:t>
      </w:r>
      <w:r w:rsidR="00A70D38" w:rsidRPr="00A70D38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nr.2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ANRE.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decît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Hotărîrei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Hotărîre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B3FC778" w14:textId="3CBDFEA2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Plata pentru gazele naturale furnizate se efectuează până la data de </w:t>
      </w:r>
      <w:r w:rsidR="00270AE2" w:rsidRPr="00DD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inclusiv, a lunii următoare celei de consum, în lei moldovenești, inclusiv prin transfer bancar pe contul de decontare al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Furnizorului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Pe parcursul lunii, la înţelegerea părţilor, se admite efectuarea plăţii în rate pentru gazele naturale real consumate într-o perioadă stabilită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.</w:t>
      </w:r>
    </w:p>
    <w:p w14:paraId="38D41A5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Plata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încasării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mijloacelor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băneşti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C043E79" w14:textId="132D293B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caz de neachitare sau achitare parțială a contravalorii gazelor naturale consumate până la data de </w:t>
      </w:r>
      <w:r w:rsidR="000F6021">
        <w:rPr>
          <w:rFonts w:ascii="Times New Roman" w:hAnsi="Times New Roman" w:cs="Times New Roman"/>
          <w:sz w:val="24"/>
          <w:szCs w:val="24"/>
          <w:lang w:val="en-US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inclusiv, a lunii următoare celei de consum,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Consumatorul noncasnic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 plăti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Furnizorului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 penalitate în mărime de 0,01% din suma datorată, pentru fiecare zi de întârziere, începând cu data de </w:t>
      </w:r>
      <w:r w:rsidR="00270AE2" w:rsidRPr="00DD5B50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lunii următoare celei de consum și până la data plății integrale.</w:t>
      </w:r>
    </w:p>
    <w:p w14:paraId="09DD75E3" w14:textId="77777777" w:rsidR="00E0434E" w:rsidRDefault="000E7263">
      <w:pPr>
        <w:pStyle w:val="Frspaiere"/>
        <w:ind w:firstLine="567"/>
        <w:jc w:val="both"/>
        <w:rPr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cazul achitării integrale de către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Consumatorul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noncasnic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contravalorii gazelor naturale consumate, după data-limită indicată în pct.23 din prezentul Contract,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Furnizorul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își rezervă dreptul de a cere de 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Consumator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noncasnic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achitarea penalității, calculate conform pct.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prezentul Contract, fără expedierea notificărilor suplimentare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Consumatorului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noncasnic</w:t>
      </w:r>
      <w:r>
        <w:rPr>
          <w:lang w:val="ro-RO"/>
        </w:rPr>
        <w:t>.</w:t>
      </w:r>
    </w:p>
    <w:p w14:paraId="10003559" w14:textId="77777777" w:rsidR="00E0434E" w:rsidRDefault="000E7263">
      <w:pPr>
        <w:pStyle w:val="Frspaiere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26.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mai tîrziu de sfîrşitul lunii, ulterioare trimestrului de furnizare,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Furnizorul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Consumatorului noncasnic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verifică calculele reciproce, ce ţin de prezentul Contract şi întocmesc actul de verificare a calculelor pentru gazele naturale utilizate, cu calcularea penalităţilor şi amenzilor aplicate, în conformitate cu prezentul Contract.</w:t>
      </w:r>
    </w:p>
    <w:p w14:paraId="730B4D6D" w14:textId="77777777" w:rsidR="00E0434E" w:rsidRDefault="00E0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13A65459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Drepturile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obligaţiile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Furnizorului</w:t>
      </w:r>
      <w:proofErr w:type="spellEnd"/>
    </w:p>
    <w:p w14:paraId="6EFE96A6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E6409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1749868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amplasării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7AB9B09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pct.39 din Contract;</w:t>
      </w:r>
    </w:p>
    <w:p w14:paraId="40B7A33C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FFE18A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ultimilor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stabileşte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încadrează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admisibile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3205838F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defavoarea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pentru luna viitoare.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perceapă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emiterii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emiterii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depistat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prescripţie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civil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demonstrează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894CF3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recalcularea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corecţi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lipsa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OSD; </w:t>
      </w:r>
    </w:p>
    <w:p w14:paraId="1FDDD7F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recalculeze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capacității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rețea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funcționarea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24/24,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pauşal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ocolirea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denaturarea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modalităţi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incompletă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CB29238" w14:textId="77777777" w:rsidR="00E0434E" w:rsidRDefault="000E7263">
      <w:pPr>
        <w:pStyle w:val="NormalWeb"/>
        <w:rPr>
          <w:lang w:val="it-IT"/>
        </w:rPr>
      </w:pPr>
      <w:r>
        <w:rPr>
          <w:lang w:val="ro-RO"/>
        </w:rPr>
        <w:t xml:space="preserve">h) să solicite plată preventivă pentru consumul gazelor naturale de la </w:t>
      </w:r>
      <w:r>
        <w:rPr>
          <w:b/>
          <w:lang w:val="ro-RO"/>
        </w:rPr>
        <w:t xml:space="preserve">Consumator noncasnic </w:t>
      </w:r>
      <w:r>
        <w:rPr>
          <w:lang w:val="it-IT"/>
        </w:rPr>
        <w:t>î</w:t>
      </w:r>
      <w:r>
        <w:rPr>
          <w:lang w:val="ro-RO"/>
        </w:rPr>
        <w:t>n următoarele situații:</w:t>
      </w:r>
    </w:p>
    <w:p w14:paraId="09A03B60" w14:textId="77777777" w:rsidR="00E0434E" w:rsidRDefault="000E7263">
      <w:pPr>
        <w:pStyle w:val="Listparagraf"/>
        <w:numPr>
          <w:ilvl w:val="0"/>
          <w:numId w:val="1"/>
        </w:numPr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când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instalaţiile</w:t>
      </w:r>
      <w:proofErr w:type="spellEnd"/>
      <w:r>
        <w:rPr>
          <w:lang w:val="en-US"/>
        </w:rPr>
        <w:t xml:space="preserve"> de gaze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 ale </w:t>
      </w:r>
      <w:r>
        <w:rPr>
          <w:b/>
          <w:lang w:val="ro-RO"/>
        </w:rPr>
        <w:t>Consumatorului noncasnic</w:t>
      </w:r>
      <w:r>
        <w:rPr>
          <w:lang w:val="en-US"/>
        </w:rPr>
        <w:t xml:space="preserve"> au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deconectate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reţeaua</w:t>
      </w:r>
      <w:proofErr w:type="spellEnd"/>
      <w:r>
        <w:rPr>
          <w:lang w:val="en-US"/>
        </w:rPr>
        <w:t xml:space="preserve"> de gaze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neachitarea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facturii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plată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refuzul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nemotivat</w:t>
      </w:r>
      <w:proofErr w:type="spellEnd"/>
      <w:r>
        <w:rPr>
          <w:lang w:val="en-US"/>
        </w:rPr>
        <w:t xml:space="preserve"> al </w:t>
      </w:r>
      <w:r>
        <w:rPr>
          <w:b/>
          <w:lang w:val="ro-RO"/>
        </w:rPr>
        <w:t>Consumatorului noncasnic</w:t>
      </w:r>
      <w:r>
        <w:rPr>
          <w:lang w:val="en-US"/>
        </w:rPr>
        <w:t xml:space="preserve"> de a </w:t>
      </w:r>
      <w:proofErr w:type="spellStart"/>
      <w:r>
        <w:rPr>
          <w:lang w:val="en-US"/>
        </w:rPr>
        <w:t>acorda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accesul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personalului</w:t>
      </w:r>
      <w:proofErr w:type="spellEnd"/>
      <w:r>
        <w:rPr>
          <w:lang w:val="en-US"/>
        </w:rPr>
        <w:t xml:space="preserve"> </w:t>
      </w:r>
      <w:r>
        <w:rPr>
          <w:iCs/>
          <w:lang w:val="en-US"/>
        </w:rPr>
        <w:t>OSD</w:t>
      </w:r>
      <w:r>
        <w:rPr>
          <w:lang w:val="en-US"/>
        </w:rPr>
        <w:t xml:space="preserve"> la </w:t>
      </w:r>
      <w:proofErr w:type="spellStart"/>
      <w:r>
        <w:rPr>
          <w:lang w:val="en-US"/>
        </w:rPr>
        <w:t>locul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consum</w:t>
      </w:r>
      <w:proofErr w:type="spellEnd"/>
      <w:r>
        <w:rPr>
          <w:lang w:val="en-US"/>
        </w:rPr>
        <w:t>;</w:t>
      </w:r>
    </w:p>
    <w:p w14:paraId="57003179" w14:textId="77777777" w:rsidR="00E0434E" w:rsidRDefault="000E7263">
      <w:pPr>
        <w:pStyle w:val="Listparagraf"/>
        <w:numPr>
          <w:ilvl w:val="0"/>
          <w:numId w:val="1"/>
        </w:numPr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situaţia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care </w:t>
      </w:r>
      <w:proofErr w:type="spellStart"/>
      <w:r>
        <w:rPr>
          <w:lang w:val="en-US"/>
        </w:rPr>
        <w:t>imobilul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obiect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unui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litigiu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instanţa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judecată</w:t>
      </w:r>
      <w:proofErr w:type="spellEnd"/>
      <w:r>
        <w:rPr>
          <w:lang w:val="en-US"/>
        </w:rPr>
        <w:t xml:space="preserve">, cu o </w:t>
      </w:r>
      <w:proofErr w:type="spellStart"/>
      <w:r>
        <w:rPr>
          <w:lang w:val="en-US"/>
        </w:rPr>
        <w:t>valoare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depaseste</w:t>
      </w:r>
      <w:proofErr w:type="spellEnd"/>
      <w:r>
        <w:rPr>
          <w:lang w:val="en-US"/>
        </w:rPr>
        <w:t xml:space="preserve"> 20% din </w:t>
      </w:r>
      <w:proofErr w:type="spellStart"/>
      <w:r>
        <w:rPr>
          <w:lang w:val="en-US"/>
        </w:rPr>
        <w:t>capitalul</w:t>
      </w:r>
      <w:proofErr w:type="spellEnd"/>
      <w:r>
        <w:rPr>
          <w:lang w:val="en-US"/>
        </w:rPr>
        <w:t xml:space="preserve"> social al </w:t>
      </w:r>
      <w:proofErr w:type="spellStart"/>
      <w:r>
        <w:rPr>
          <w:lang w:val="en-US"/>
        </w:rPr>
        <w:t>Consumatorului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cansnic</w:t>
      </w:r>
      <w:proofErr w:type="spellEnd"/>
      <w:r>
        <w:rPr>
          <w:lang w:val="en-US"/>
        </w:rPr>
        <w:t>;</w:t>
      </w:r>
    </w:p>
    <w:p w14:paraId="3D76C9D8" w14:textId="77777777" w:rsidR="00E0434E" w:rsidRDefault="000E7263">
      <w:pPr>
        <w:pStyle w:val="Listparagraf"/>
        <w:numPr>
          <w:ilvl w:val="0"/>
          <w:numId w:val="1"/>
        </w:numPr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faţă</w:t>
      </w:r>
      <w:proofErr w:type="spellEnd"/>
      <w:r>
        <w:rPr>
          <w:lang w:val="en-US"/>
        </w:rPr>
        <w:t xml:space="preserve"> de </w:t>
      </w:r>
      <w:r>
        <w:rPr>
          <w:b/>
          <w:lang w:val="ro-RO"/>
        </w:rPr>
        <w:t xml:space="preserve">Consumatorul </w:t>
      </w:r>
      <w:proofErr w:type="spellStart"/>
      <w:r>
        <w:rPr>
          <w:b/>
          <w:lang w:val="ro-RO"/>
        </w:rPr>
        <w:t>noncasnic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iniţiată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lichidare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hotărîrii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irevocabile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instanței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judecată</w:t>
      </w:r>
      <w:proofErr w:type="spellEnd"/>
      <w:r>
        <w:rPr>
          <w:lang w:val="en-US"/>
        </w:rPr>
        <w:t>;</w:t>
      </w:r>
    </w:p>
    <w:p w14:paraId="112A49F9" w14:textId="77777777" w:rsidR="00E0434E" w:rsidRDefault="000E7263">
      <w:pPr>
        <w:pStyle w:val="Listparagraf"/>
        <w:numPr>
          <w:ilvl w:val="0"/>
          <w:numId w:val="1"/>
        </w:numPr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acordul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ambelor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Părți</w:t>
      </w:r>
      <w:proofErr w:type="spellEnd"/>
      <w:r>
        <w:t>.</w:t>
      </w:r>
    </w:p>
    <w:p w14:paraId="1E649B84" w14:textId="4A6C02C5" w:rsidR="00E0434E" w:rsidRDefault="000E726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întreruperi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întrerupă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impedimentului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justificator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atestat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Camerei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Industrie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Moldova.</w:t>
      </w:r>
    </w:p>
    <w:p w14:paraId="14AEEA6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obligat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1564186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pînă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delimitare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C09528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calorifică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MJ/m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(kcal/m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la 20 °C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101,325 kPa,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31,8 (7600) </w:t>
      </w:r>
    </w:p>
    <w:p w14:paraId="4CB0E654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Domeniul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Wobbe (superior), MJ/m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(kcal/m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41,2-54,5 (9850-13000) </w:t>
      </w:r>
    </w:p>
    <w:p w14:paraId="39810F10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admisibilă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Wobbe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%,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± 5 </w:t>
      </w:r>
    </w:p>
    <w:p w14:paraId="272BBDE5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Concentraţia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acidului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sulfhidric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0,02 </w:t>
      </w:r>
    </w:p>
    <w:p w14:paraId="5420AEF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Concentraţia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sulfului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mercaptan, 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0,036 </w:t>
      </w:r>
    </w:p>
    <w:p w14:paraId="04E42899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volumetrică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oxigenului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%,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1,0 </w:t>
      </w:r>
    </w:p>
    <w:p w14:paraId="3FF62F47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impurităţilor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0,001 </w:t>
      </w:r>
    </w:p>
    <w:p w14:paraId="62808B63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lunar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factura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cel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termenului-limită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OSD; </w:t>
      </w:r>
    </w:p>
    <w:p w14:paraId="78703193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32AC1B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răspundă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de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A56B0A6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deterioreze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aducă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construcţiei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iniţială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fost deteriorate din culpa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0AC38D0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recalcularea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B05086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istoricul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plăţile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penalităţile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calculate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Contract;</w:t>
      </w:r>
    </w:p>
    <w:p w14:paraId="5B2105C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restabilirea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de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înlăturarea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motivelor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CE693E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confirmative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4C4059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datoriile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rezoluțiunea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7F1840E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preîntâmpine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36329963" w14:textId="6299215D" w:rsidR="008230AC" w:rsidRPr="008230AC" w:rsidRDefault="00850B9F" w:rsidP="0082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</w:t>
      </w:r>
      <w:r w:rsidR="008230AC" w:rsidRPr="008230A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în caz de rezoluțiune a contractului, sa nu solicite plata preventivă a gazului natural consumat, furnizorul este obligat sa respecte graficul și termenul de plată stabilit în contract și anexă în caz de rezoluțiune anticipată a contractului sau la scadența acestuia.</w:t>
      </w:r>
    </w:p>
    <w:p w14:paraId="4E33366B" w14:textId="6F6C4ABC" w:rsidR="008230AC" w:rsidRPr="008230AC" w:rsidRDefault="00850B9F" w:rsidP="0082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m</w:t>
      </w:r>
      <w:r w:rsidR="008230AC" w:rsidRPr="008230A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compenseze diferența de tarif Consumatorului pentru perioada contractuală, în cazul încetării/rezoluțiunii a contractului din partea Furnizorului</w:t>
      </w:r>
      <w:r w:rsidR="00CF2F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situațiile dependente de voința Furnizorului</w:t>
      </w:r>
      <w:r w:rsidR="008230AC" w:rsidRPr="008230A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inclusiv și ca urmare a </w:t>
      </w:r>
      <w:r w:rsidR="008230AC" w:rsidRPr="008230A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suspendării, retragerii, anulării licenței Furnizorului de către ANRE</w:t>
      </w:r>
      <w:r w:rsidR="00CF2FAD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.</w:t>
      </w:r>
      <w:r w:rsidR="008230AC" w:rsidRPr="008230A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.</w:t>
      </w:r>
    </w:p>
    <w:p w14:paraId="607FF60D" w14:textId="77777777" w:rsidR="00E0434E" w:rsidRPr="00DD5B50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ro-RO" w:eastAsia="ru-RU"/>
        </w:rPr>
      </w:pPr>
      <w:r w:rsidRPr="00DD5B50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 </w:t>
      </w:r>
    </w:p>
    <w:p w14:paraId="280F39D9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Drepturile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obligaţiile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noncasnic</w:t>
      </w:r>
      <w:proofErr w:type="spellEnd"/>
    </w:p>
    <w:p w14:paraId="6B2B0D99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6DB5A9A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dreptul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6D3979D9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consume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1047D7B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fiabilă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ieşirea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robinetul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siguranţă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344EB71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repararea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prejudiciului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moral)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rezultatul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încălcării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4AD1E9C8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amplasării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720278F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suspendarea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prelungirea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rezoluțiunea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63E89238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temporară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6C3E688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expertizei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extrajudiciare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313DCCE1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obligat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2AE99DB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F5373DA" w14:textId="3614E690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integral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E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 w:rsidR="00E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prevederilor</w:t>
      </w:r>
      <w:proofErr w:type="spellEnd"/>
      <w:r w:rsidR="00E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5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223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FA0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1F90694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întreţină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0222D48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securitate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D3F364D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remedierea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defecţiunilor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unităţilor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4D12EEDB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păstreze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sigiliile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lui; </w:t>
      </w:r>
    </w:p>
    <w:p w14:paraId="6A6231F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neîntreruptă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debitului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parametrilor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presiunii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422FF2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metrologică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aparţine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DA29C9B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deservirea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reparaţia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amplasate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Consumatorului noncasnic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4A68C777" w14:textId="05B078F9" w:rsidR="00247403" w:rsidRDefault="000E72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contribuie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voluntară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apariţiei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excepţionale</w:t>
      </w:r>
      <w:proofErr w:type="spellEnd"/>
      <w:r w:rsidR="00DD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4FE77CFA" w14:textId="5B9802A1" w:rsidR="00E147D1" w:rsidRPr="00DD5B50" w:rsidRDefault="002474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k) </w:t>
      </w:r>
      <w:r w:rsidR="00DD5B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</w:t>
      </w:r>
      <w:r w:rsidR="008D4C3B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ă prelungească contractul</w:t>
      </w:r>
      <w:r w:rsidR="00575F7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pe un termen de 30 zile, în scopul </w:t>
      </w:r>
      <w:r w:rsidR="000E605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consumării gazului natural neconsumat</w:t>
      </w:r>
      <w:r w:rsidR="00A479E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dar</w:t>
      </w:r>
      <w:r w:rsidR="000E605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programat pentru perioada </w:t>
      </w:r>
      <w:r w:rsidR="00F57AE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mai-</w:t>
      </w:r>
      <w:r w:rsidR="00CA321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august 2025, </w:t>
      </w:r>
      <w:r w:rsidR="00097F8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luând în considerație </w:t>
      </w:r>
      <w:r w:rsidR="00403BE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devierile lunare de 10%</w:t>
      </w:r>
      <w:r w:rsidR="00C3271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</w:t>
      </w:r>
    </w:p>
    <w:p w14:paraId="1B6570EE" w14:textId="0AE9374A" w:rsidR="006965F8" w:rsidRDefault="006965F8" w:rsidP="00DD5B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C6AD086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beneficiază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execute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8CE71A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date a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-verbal de dare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exploatare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OSD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OSD.</w:t>
      </w:r>
    </w:p>
    <w:p w14:paraId="62EA1C3B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4A49EF1B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Responsabilitatea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părţilor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1166B953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E068D0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întreprinde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îndeplinirea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clauzelor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încălcare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clauze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vinovată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prejudiciul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EDAB1D8" w14:textId="25CBA172" w:rsidR="00E0434E" w:rsidRDefault="000E7263">
      <w:pPr>
        <w:pStyle w:val="Listparagraf"/>
        <w:autoSpaceDE w:val="0"/>
        <w:autoSpaceDN w:val="0"/>
        <w:adjustRightInd w:val="0"/>
        <w:ind w:left="0" w:right="-1" w:firstLine="567"/>
        <w:jc w:val="both"/>
        <w:rPr>
          <w:lang w:val="en-US"/>
        </w:rPr>
      </w:pPr>
      <w:r>
        <w:rPr>
          <w:b/>
          <w:bCs/>
          <w:lang w:val="en-US"/>
        </w:rPr>
        <w:lastRenderedPageBreak/>
        <w:t>3</w:t>
      </w:r>
      <w:r w:rsidR="00DD5B50">
        <w:rPr>
          <w:b/>
          <w:bCs/>
          <w:lang w:val="en-US"/>
        </w:rPr>
        <w:t>4</w:t>
      </w:r>
      <w:r>
        <w:rPr>
          <w:b/>
          <w:bCs/>
          <w:lang w:val="en-US"/>
        </w:rPr>
        <w:t xml:space="preserve">. </w:t>
      </w:r>
      <w:proofErr w:type="spellStart"/>
      <w:r>
        <w:rPr>
          <w:bCs/>
          <w:lang w:val="en-US"/>
        </w:rPr>
        <w:t>Fiecare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lang w:val="en-US"/>
        </w:rPr>
        <w:t>parte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contractantă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termen de 7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lucrătoare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cealaltă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contractantă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despre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modificările</w:t>
      </w:r>
      <w:proofErr w:type="spellEnd"/>
      <w:r>
        <w:rPr>
          <w:lang w:val="en-US"/>
        </w:rPr>
        <w:t xml:space="preserve"> operate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denumirea</w:t>
      </w:r>
      <w:proofErr w:type="spellEnd"/>
      <w:r>
        <w:rPr>
          <w:lang w:val="en-US"/>
        </w:rPr>
        <w:t xml:space="preserve">, forma </w:t>
      </w:r>
      <w:proofErr w:type="spellStart"/>
      <w:r>
        <w:rPr>
          <w:lang w:val="en-US"/>
        </w:rPr>
        <w:t>organizatorico-juridică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întreprinderii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instituției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juridică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bancare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fiscal,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TVA.</w:t>
      </w:r>
    </w:p>
    <w:p w14:paraId="06E5A156" w14:textId="027A8CFD" w:rsidR="00E0434E" w:rsidRDefault="000E7263">
      <w:pPr>
        <w:pStyle w:val="Listparagraf"/>
        <w:autoSpaceDE w:val="0"/>
        <w:autoSpaceDN w:val="0"/>
        <w:adjustRightInd w:val="0"/>
        <w:ind w:left="0" w:right="-1" w:firstLine="567"/>
        <w:jc w:val="both"/>
        <w:rPr>
          <w:lang w:val="en-US"/>
        </w:rPr>
      </w:pPr>
      <w:r>
        <w:rPr>
          <w:b/>
          <w:bCs/>
          <w:lang w:val="en-US"/>
        </w:rPr>
        <w:t>3</w:t>
      </w:r>
      <w:r w:rsidR="00DD5B50">
        <w:rPr>
          <w:b/>
          <w:bCs/>
          <w:lang w:val="en-US"/>
        </w:rPr>
        <w:t>5</w:t>
      </w:r>
      <w:r>
        <w:rPr>
          <w:b/>
          <w:bCs/>
          <w:lang w:val="en-US"/>
        </w:rPr>
        <w:t xml:space="preserve">. </w:t>
      </w:r>
      <w:r>
        <w:rPr>
          <w:b/>
          <w:lang w:val="ro-RO"/>
        </w:rPr>
        <w:t xml:space="preserve">Consumatorul </w:t>
      </w:r>
      <w:proofErr w:type="spellStart"/>
      <w:r>
        <w:rPr>
          <w:b/>
          <w:lang w:val="ro-RO"/>
        </w:rPr>
        <w:t>noncasnic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informeze</w:t>
      </w:r>
      <w:proofErr w:type="spellEnd"/>
      <w:r>
        <w:rPr>
          <w:lang w:val="en-US"/>
        </w:rPr>
        <w:t xml:space="preserve"> </w:t>
      </w:r>
      <w:r>
        <w:rPr>
          <w:b/>
          <w:lang w:val="ro-RO"/>
        </w:rPr>
        <w:t xml:space="preserve">Furnizorul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termen de 10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lucrătoare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despre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faptul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înstrăinării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imobilului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constituie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obiectul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furnizare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gazelor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, cu </w:t>
      </w:r>
      <w:proofErr w:type="spellStart"/>
      <w:r>
        <w:rPr>
          <w:lang w:val="en-US"/>
        </w:rPr>
        <w:t>rezoluțiunea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acestuia</w:t>
      </w:r>
      <w:proofErr w:type="spellEnd"/>
      <w:r>
        <w:rPr>
          <w:lang w:val="en-US"/>
        </w:rPr>
        <w:t>.</w:t>
      </w:r>
    </w:p>
    <w:p w14:paraId="326B0901" w14:textId="77777777" w:rsidR="00E0434E" w:rsidRDefault="00E04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14:paraId="4F453E02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Deconectarea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reţea</w:t>
      </w:r>
      <w:proofErr w:type="spellEnd"/>
    </w:p>
    <w:p w14:paraId="2E68B9FB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B39134" w14:textId="67332060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36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OSD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deconecteze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reţeaua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următoarele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cazuri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3DD62227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neachitarea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plăţilor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data-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5AE8F6B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expirarea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prelungirea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418A0A7D" w14:textId="2EB51DEA" w:rsidR="00E0434E" w:rsidRDefault="00270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7C12BDC" w14:textId="67DD79F7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37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ale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acestuia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instalaţiei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pct.36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lit.b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F35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70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numai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avizarea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Consumatorului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78BC7794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expediază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înmânează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cel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preconizată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deconectare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71444EBE" w14:textId="776BA2C4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38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situaţia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pct.36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lit.a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Consumatorul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posibilele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consecinţe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neachitării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648DB11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2AD029CF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Impedimentul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justificator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împrejurări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exonerare</w:t>
      </w:r>
      <w:proofErr w:type="spellEnd"/>
    </w:p>
    <w:p w14:paraId="0EE0AB3E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5C16101C" w14:textId="3A73AB91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39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sunt exonerate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răspundere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neexecutarea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necorespunzătoare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totală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parţială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obligaţiilor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decurg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Contract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aceasta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rezultatul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acţiuniiunui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impediment care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justifică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neexecutarea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574F0EA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024B2CAF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Rezoluțiunea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18FDE9BA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FFC483B" w14:textId="78007D64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DD5B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Rezoluțiunea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termen de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depunerii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6C6BF119" w14:textId="1D1D1AC3" w:rsidR="00E0434E" w:rsidRDefault="000E7263">
      <w:pPr>
        <w:pStyle w:val="Listparagraf"/>
        <w:autoSpaceDE w:val="0"/>
        <w:autoSpaceDN w:val="0"/>
        <w:adjustRightInd w:val="0"/>
        <w:ind w:left="0" w:right="-1" w:firstLine="567"/>
        <w:jc w:val="both"/>
        <w:rPr>
          <w:lang w:val="en-US"/>
        </w:rPr>
      </w:pPr>
      <w:r>
        <w:rPr>
          <w:b/>
          <w:bCs/>
          <w:lang w:val="en-US"/>
        </w:rPr>
        <w:t>4</w:t>
      </w:r>
      <w:r w:rsidR="00DD5B50">
        <w:rPr>
          <w:b/>
          <w:bCs/>
          <w:lang w:val="en-US"/>
        </w:rPr>
        <w:t>1</w:t>
      </w:r>
      <w:r>
        <w:rPr>
          <w:b/>
          <w:bCs/>
          <w:lang w:val="en-US"/>
        </w:rPr>
        <w:t>. 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depunerii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solicitării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rezoluțiune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furnizare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gazelor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Consumatorul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noncasnic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achite</w:t>
      </w:r>
      <w:proofErr w:type="spellEnd"/>
      <w:r>
        <w:rPr>
          <w:lang w:val="en-US"/>
        </w:rPr>
        <w:t xml:space="preserve"> </w:t>
      </w:r>
      <w:r w:rsidR="00425128">
        <w:rPr>
          <w:lang w:val="en-US"/>
        </w:rPr>
        <w:t>p</w:t>
      </w:r>
      <w:r w:rsidR="00425128">
        <w:rPr>
          <w:lang w:val="ro-MD"/>
        </w:rPr>
        <w:t xml:space="preserve">ână la data de </w:t>
      </w:r>
      <w:r w:rsidR="000F6021">
        <w:rPr>
          <w:lang w:val="ro-MD"/>
        </w:rPr>
        <w:t>30</w:t>
      </w:r>
      <w:r w:rsidR="00425128">
        <w:rPr>
          <w:lang w:val="ro-MD"/>
        </w:rPr>
        <w:t xml:space="preserve"> a lunii urmatoare </w:t>
      </w:r>
      <w:r>
        <w:rPr>
          <w:lang w:val="en-US"/>
        </w:rPr>
        <w:t xml:space="preserve">integral </w:t>
      </w:r>
      <w:proofErr w:type="spellStart"/>
      <w:r>
        <w:rPr>
          <w:lang w:val="en-US"/>
        </w:rPr>
        <w:t>plata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gazele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consumate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până</w:t>
      </w:r>
      <w:proofErr w:type="spellEnd"/>
      <w:r>
        <w:rPr>
          <w:lang w:val="en-US"/>
        </w:rPr>
        <w:t xml:space="preserve"> la data </w:t>
      </w:r>
      <w:proofErr w:type="spellStart"/>
      <w:r>
        <w:rPr>
          <w:lang w:val="en-US"/>
        </w:rPr>
        <w:t>rezoluțiunii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asigure</w:t>
      </w:r>
      <w:proofErr w:type="spellEnd"/>
      <w:r>
        <w:rPr>
          <w:lang w:val="en-US"/>
        </w:rPr>
        <w:t xml:space="preserve"> </w:t>
      </w:r>
      <w:r>
        <w:rPr>
          <w:iCs/>
          <w:lang w:val="en-US"/>
        </w:rPr>
        <w:t>OSD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verificarea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locului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efectuarea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lucrări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deconectare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aparatelor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instalațiilor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utilizare</w:t>
      </w:r>
      <w:proofErr w:type="spellEnd"/>
      <w:r>
        <w:rPr>
          <w:lang w:val="en-US"/>
        </w:rPr>
        <w:t xml:space="preserve"> gaze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necesitate</w:t>
      </w:r>
      <w:proofErr w:type="spellEnd"/>
      <w:r>
        <w:rPr>
          <w:lang w:val="en-US"/>
        </w:rPr>
        <w:t>.</w:t>
      </w:r>
    </w:p>
    <w:p w14:paraId="040D3AFB" w14:textId="45ABFC18" w:rsidR="00E0434E" w:rsidRPr="00FD761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="00DD5B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rezoluționa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unilateral</w:t>
      </w:r>
      <w:r w:rsidR="007F4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FD7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61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obligatoriu </w:t>
      </w:r>
      <w:r w:rsidR="00FD761E" w:rsidRPr="007F4B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 un preaviz de 20 zile calendaristice expediat Consumatorului</w:t>
      </w:r>
      <w:r w:rsidR="00FD761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0A9C5C12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2B84CA73" w14:textId="7777777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X.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Soluţionarea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neînţelegerilor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litigiilor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0576230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5E9F0E" w14:textId="10E1C3BF" w:rsidR="00E0434E" w:rsidRDefault="000E7263">
      <w:pPr>
        <w:pStyle w:val="Listparagraf"/>
        <w:autoSpaceDE w:val="0"/>
        <w:autoSpaceDN w:val="0"/>
        <w:adjustRightInd w:val="0"/>
        <w:ind w:left="0" w:right="-1" w:firstLine="567"/>
        <w:jc w:val="both"/>
        <w:rPr>
          <w:lang w:val="en-US"/>
        </w:rPr>
      </w:pPr>
      <w:r>
        <w:rPr>
          <w:b/>
          <w:bCs/>
          <w:lang w:val="en-US"/>
        </w:rPr>
        <w:t>4</w:t>
      </w:r>
      <w:r w:rsidR="00DD5B50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. </w:t>
      </w:r>
      <w:proofErr w:type="spellStart"/>
      <w:r>
        <w:rPr>
          <w:lang w:val="en-US"/>
        </w:rPr>
        <w:t>Reclamaţiile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Consumatorului</w:t>
      </w:r>
      <w:proofErr w:type="spellEnd"/>
      <w:r>
        <w:rPr>
          <w:b/>
          <w:lang w:val="en-US"/>
        </w:rPr>
        <w:t xml:space="preserve"> </w:t>
      </w:r>
      <w:r>
        <w:rPr>
          <w:b/>
          <w:lang w:val="ro-RO"/>
        </w:rPr>
        <w:t xml:space="preserve">noncasnic </w:t>
      </w:r>
      <w:r>
        <w:rPr>
          <w:lang w:val="ro-RO"/>
        </w:rPr>
        <w:t>vor fi examinate și soluționate conform legislației în vigoare.</w:t>
      </w:r>
    </w:p>
    <w:p w14:paraId="7008D132" w14:textId="0A6728FD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DD5B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întreprinde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soluţiona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neînţelegerile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litigiile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apărute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derulării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 cale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amiabilă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negocieri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înţelegere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reciprocă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D4E67B3" w14:textId="2DFF39DC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DD5B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Litigiile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interpretarea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nu pot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soluţionate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cale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amiabilă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soluţionate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judecată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63ECED4E" w14:textId="24927392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46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 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pot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adresa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Agenţia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Reglementare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Energetică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soluţionarea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neînţelegerilor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ţin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competenţa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Agenţiei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358BAC8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36E18614" w14:textId="77777777" w:rsidR="002D3A71" w:rsidRDefault="002D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A1D3315" w14:textId="77777777" w:rsidR="002D3A71" w:rsidRDefault="002D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E023E48" w14:textId="04E180F7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XI.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Clauze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speciale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71C2FC4" w14:textId="77777777" w:rsidR="00E0434E" w:rsidRDefault="00E0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61A2AB" w14:textId="65778B51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47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tehnologice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pierderile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tehnice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reţelele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instalaţiile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amplasate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delimitare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cel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măsurare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gaze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calcula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suportate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proprietarul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reţelelor</w:t>
      </w:r>
      <w:proofErr w:type="spellEnd"/>
      <w:r w:rsidR="00C30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9AA6532" w14:textId="1B54EFDD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48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efectuează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negocierilor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specificând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negociate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acorduri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adiţionale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Contract.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ulterior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încheierii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normative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existente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stabilesc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reguli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facturare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Părţile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contractante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reguli,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Furnizorul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notifica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Consumatorul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noncasnic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modificările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legislaţie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8F8F85F" w14:textId="1B5D0C39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49</w:t>
      </w:r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ziua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semnării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toată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corespondenţa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anterioară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documentele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negocierile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Părţi</w:t>
      </w:r>
      <w:proofErr w:type="spellEnd"/>
      <w:r w:rsidR="000E7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marginea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chestiunilor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juridice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5D19BE" w14:textId="3C70BD29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DD5B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Nici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 stipulate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celeilalte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B187EE" w14:textId="723E921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DD5B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Părțile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obligate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imediat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reciproc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avariile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defecţiunile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sale, care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provocat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recepţionării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4DB8A3AE" w14:textId="34FB2BF1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5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="00DD5B50" w:rsidRPr="006B75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Pr="006B75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6B7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b/>
          <w:sz w:val="24"/>
          <w:szCs w:val="24"/>
          <w:lang w:val="en-US"/>
        </w:rPr>
        <w:t>Consumatorul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b/>
          <w:sz w:val="24"/>
          <w:szCs w:val="24"/>
          <w:lang w:val="ro-RO"/>
        </w:rPr>
        <w:t>noncasnic</w:t>
      </w:r>
      <w:proofErr w:type="spellEnd"/>
      <w:r w:rsidRPr="006B75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primească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furnizare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gazelor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5F9">
        <w:rPr>
          <w:rFonts w:ascii="Times New Roman" w:hAnsi="Times New Roman" w:cs="Times New Roman"/>
          <w:sz w:val="24"/>
          <w:szCs w:val="24"/>
          <w:lang w:val="en-US"/>
        </w:rPr>
        <w:t xml:space="preserve">-------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relații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consumatorii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B75F9">
        <w:rPr>
          <w:rFonts w:ascii="Times New Roman" w:eastAsia="Calibri" w:hAnsi="Times New Roman"/>
          <w:sz w:val="24"/>
          <w:szCs w:val="24"/>
          <w:lang w:val="en-US"/>
        </w:rPr>
        <w:t xml:space="preserve"> ------ </w:t>
      </w:r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program de 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>: luni-</w:t>
      </w:r>
      <w:proofErr w:type="spellStart"/>
      <w:r w:rsidRPr="006B75F9">
        <w:rPr>
          <w:rFonts w:ascii="Times New Roman" w:hAnsi="Times New Roman" w:cs="Times New Roman"/>
          <w:sz w:val="24"/>
          <w:szCs w:val="24"/>
          <w:lang w:val="en-US"/>
        </w:rPr>
        <w:t>vineri</w:t>
      </w:r>
      <w:proofErr w:type="spellEnd"/>
      <w:r w:rsidRPr="006B7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352F">
        <w:rPr>
          <w:rFonts w:ascii="Times New Roman" w:hAnsi="Times New Roman" w:cs="Times New Roman"/>
          <w:sz w:val="24"/>
          <w:szCs w:val="24"/>
          <w:lang w:val="en-US"/>
        </w:rPr>
        <w:t>----</w:t>
      </w:r>
      <w:r w:rsidRPr="006B75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6C2B8B" w14:textId="719D9BB1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D5B5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nr.133 din 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personal.</w:t>
      </w:r>
    </w:p>
    <w:p w14:paraId="10A8E185" w14:textId="77777777" w:rsidR="00A13197" w:rsidRDefault="00A13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CF4B77" w14:textId="77777777" w:rsidR="00E0434E" w:rsidRDefault="00E0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28ED126" w14:textId="77777777" w:rsidR="00E0434E" w:rsidRDefault="000E7263">
      <w:pPr>
        <w:tabs>
          <w:tab w:val="left" w:pos="567"/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XII. 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Confidenţialitate</w:t>
      </w:r>
    </w:p>
    <w:p w14:paraId="2BFA6C22" w14:textId="77777777" w:rsidR="00E0434E" w:rsidRDefault="00E0434E">
      <w:pPr>
        <w:tabs>
          <w:tab w:val="left" w:pos="567"/>
          <w:tab w:val="left" w:pos="709"/>
        </w:tabs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131936" w14:textId="09A1FDA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DD5B50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Părțile sunt obligate să păstreze confidențialitatea cu privire la orice date, informații și documente, obținute din derularea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Contract, ce ar putea fi divulgate unei terțe părți, în orice formă, în scris sau verbal.</w:t>
      </w:r>
    </w:p>
    <w:p w14:paraId="14BB03B0" w14:textId="056DA86F" w:rsidR="00E0434E" w:rsidRDefault="00DD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55</w:t>
      </w:r>
      <w:r w:rsidR="000E726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 O Parte contractantă nu are dreptul, fără acordul scris prealabil al celeilalte „Părți”:</w:t>
      </w:r>
    </w:p>
    <w:p w14:paraId="65892CF5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să facă cunoscut  datele comerciale din prezentul Contract sau orice prevedere a acestuia (datele cu caracter personal, volume, preţuri) unei terțe părți, cu excepția acelor persoane implicate în aprobarea și îndeplinirea prezentului Contract;</w:t>
      </w:r>
    </w:p>
    <w:p w14:paraId="5A8EB1C8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să utilizeze datele, informațiile și documentele, obținute în perioada de derulare a prezentului Contract, în alt scop decît acela de a-și îndeplini obligațiile contractuale.</w:t>
      </w:r>
    </w:p>
    <w:p w14:paraId="2F472C62" w14:textId="1186975F" w:rsidR="00E0434E" w:rsidRDefault="00DD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56</w:t>
      </w:r>
      <w:r w:rsidR="000E726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 O Parte contractantă va fi exonerată de răspunderea pentru dezvăluirea de date, informații și documente referitoare la Contract, dacă:</w:t>
      </w:r>
    </w:p>
    <w:p w14:paraId="587E8690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acestea erau cunoscute Părților contractante, în mod legitim, înainte ca ele să fi fost primite de la cealaltă Parte;</w:t>
      </w:r>
    </w:p>
    <w:p w14:paraId="08FD2FC9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acestea au fost dezvăluite după ce a fost obținut acordul scris prealabil al celeilalte Părți contractante pentru asemenea dezvăluire;</w:t>
      </w:r>
    </w:p>
    <w:p w14:paraId="741EF3F4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acestea au fost solicitate de organele abilitate ale statului, în baza unei obligații legale de informare sau de către autoritatea de reglementare;</w:t>
      </w:r>
    </w:p>
    <w:p w14:paraId="6281D1D9" w14:textId="77777777" w:rsidR="00E0434E" w:rsidRDefault="000E7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acestea sunt sau devin publice, în baza unor obligații legale.</w:t>
      </w:r>
    </w:p>
    <w:p w14:paraId="295C5590" w14:textId="4756C068" w:rsidR="00E0434E" w:rsidRDefault="00DD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57</w:t>
      </w:r>
      <w:r w:rsidR="000E726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 Prevederile cap.XII vor rămîne în vigoare o</w:t>
      </w:r>
      <w:r w:rsidR="000E72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perioadă de </w:t>
      </w:r>
      <w:r w:rsidR="00687A22">
        <w:rPr>
          <w:rFonts w:ascii="Times New Roman" w:hAnsi="Times New Roman" w:cs="Times New Roman"/>
          <w:sz w:val="24"/>
          <w:szCs w:val="24"/>
          <w:lang w:val="ro-RO"/>
        </w:rPr>
        <w:t xml:space="preserve">12 </w:t>
      </w:r>
      <w:r w:rsidR="00403DBE">
        <w:rPr>
          <w:rFonts w:ascii="Times New Roman" w:hAnsi="Times New Roman" w:cs="Times New Roman"/>
          <w:sz w:val="24"/>
          <w:szCs w:val="24"/>
          <w:lang w:val="ro-RO"/>
        </w:rPr>
        <w:t>luni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 xml:space="preserve"> de la încetarea raporturilor contractuale.</w:t>
      </w:r>
    </w:p>
    <w:p w14:paraId="564B4616" w14:textId="3FDE5C3B" w:rsidR="00E0434E" w:rsidRDefault="00DD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58</w:t>
      </w:r>
      <w:r w:rsidR="000E726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E72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263">
        <w:rPr>
          <w:rFonts w:ascii="Times New Roman" w:hAnsi="Times New Roman" w:cs="Times New Roman"/>
          <w:sz w:val="24"/>
          <w:szCs w:val="24"/>
          <w:lang w:val="ro-RO"/>
        </w:rPr>
        <w:t>Nerespectarea obligațiilor ce decurg din cap.XII privind confidențialitatea Contractului, obligă laplata de daune-interese către cealaltă Parte.</w:t>
      </w:r>
    </w:p>
    <w:p w14:paraId="20CC8C7E" w14:textId="77777777" w:rsidR="00E0434E" w:rsidRDefault="000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</w:p>
    <w:p w14:paraId="623670B9" w14:textId="77777777" w:rsidR="00E0434E" w:rsidRDefault="000E7263">
      <w:pPr>
        <w:tabs>
          <w:tab w:val="center" w:pos="4960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  <w:t>XIII.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Durata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Contractului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5D8F56D3" w14:textId="77777777" w:rsidR="00E0434E" w:rsidRDefault="000E7263">
      <w:pPr>
        <w:tabs>
          <w:tab w:val="center" w:pos="4960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</w:p>
    <w:p w14:paraId="5F02D2E3" w14:textId="41E092CA" w:rsidR="00E0434E" w:rsidRDefault="00DD5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59</w:t>
      </w:r>
      <w:r w:rsidR="000E7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vigoare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data de </w:t>
      </w:r>
      <w:r w:rsidR="00945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produce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desfacerea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Contractului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prevederile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Contract,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furnizarea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gazelor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naturale</w:t>
      </w:r>
      <w:proofErr w:type="spellEnd"/>
      <w:r w:rsidR="000E7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299E9E59" w14:textId="77777777" w:rsidR="00482E45" w:rsidRDefault="0048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61406F" w14:textId="77777777" w:rsidR="00E0434E" w:rsidRDefault="000E7263">
      <w:pPr>
        <w:pStyle w:val="NormalWeb"/>
        <w:ind w:firstLine="360"/>
        <w:rPr>
          <w:sz w:val="16"/>
          <w:szCs w:val="16"/>
          <w:lang w:val="ro-RO"/>
        </w:rPr>
      </w:pPr>
      <w:r>
        <w:rPr>
          <w:sz w:val="16"/>
          <w:szCs w:val="16"/>
          <w:lang w:val="en-US"/>
        </w:rPr>
        <w:t> </w:t>
      </w:r>
    </w:p>
    <w:p w14:paraId="57CAB222" w14:textId="77777777" w:rsidR="00DD5B50" w:rsidRDefault="00DD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FF1A05D" w14:textId="60C745B9" w:rsidR="00E0434E" w:rsidRDefault="000E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XIV.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Adresele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juridice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bancare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ale părților</w:t>
      </w:r>
    </w:p>
    <w:p w14:paraId="03A1F8EA" w14:textId="77777777" w:rsidR="00E0434E" w:rsidRDefault="000E7263">
      <w:pPr>
        <w:pStyle w:val="NormalWeb"/>
        <w:ind w:firstLine="0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</w:t>
      </w:r>
    </w:p>
    <w:p w14:paraId="21CA2A90" w14:textId="77777777" w:rsidR="00A13197" w:rsidRPr="00A13197" w:rsidRDefault="00A13197" w:rsidP="00A13197">
      <w:pPr>
        <w:rPr>
          <w:lang w:val="ro-RO" w:eastAsia="ru-RU"/>
        </w:rPr>
      </w:pPr>
    </w:p>
    <w:p w14:paraId="2CDA3110" w14:textId="77777777" w:rsidR="00A13197" w:rsidRPr="00A13197" w:rsidRDefault="00A13197" w:rsidP="00A13197">
      <w:pPr>
        <w:rPr>
          <w:lang w:val="ro-RO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2"/>
        <w:gridCol w:w="4961"/>
      </w:tblGrid>
      <w:tr w:rsidR="00A13197" w:rsidRPr="002635FA" w14:paraId="128A6F01" w14:textId="77777777" w:rsidTr="00A13197">
        <w:trPr>
          <w:trHeight w:val="401"/>
        </w:trPr>
        <w:tc>
          <w:tcPr>
            <w:tcW w:w="4712" w:type="dxa"/>
          </w:tcPr>
          <w:p w14:paraId="18BB0744" w14:textId="77777777" w:rsidR="00A13197" w:rsidRPr="002635FA" w:rsidRDefault="00A13197" w:rsidP="00A13197">
            <w:pPr>
              <w:pStyle w:val="NormalWeb"/>
              <w:ind w:firstLine="0"/>
              <w:jc w:val="left"/>
              <w:rPr>
                <w:b/>
                <w:lang w:val="en-US"/>
              </w:rPr>
            </w:pPr>
            <w:r w:rsidRPr="002635FA">
              <w:rPr>
                <w:b/>
                <w:lang w:val="de-DE"/>
              </w:rPr>
              <w:t xml:space="preserve">                 </w:t>
            </w:r>
            <w:proofErr w:type="spellStart"/>
            <w:r w:rsidRPr="002635FA">
              <w:rPr>
                <w:b/>
                <w:lang w:val="en-US"/>
              </w:rPr>
              <w:t>Furnizorul</w:t>
            </w:r>
            <w:proofErr w:type="spellEnd"/>
          </w:p>
        </w:tc>
        <w:tc>
          <w:tcPr>
            <w:tcW w:w="4961" w:type="dxa"/>
          </w:tcPr>
          <w:p w14:paraId="5A127E77" w14:textId="77777777" w:rsidR="00A13197" w:rsidRPr="002635FA" w:rsidRDefault="00A13197" w:rsidP="00A13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</w:t>
            </w:r>
            <w:proofErr w:type="spellStart"/>
            <w:r w:rsidRPr="0026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Consumatorul</w:t>
            </w:r>
            <w:proofErr w:type="spellEnd"/>
            <w:r w:rsidRPr="0026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noncasnic</w:t>
            </w:r>
            <w:proofErr w:type="spellEnd"/>
          </w:p>
        </w:tc>
      </w:tr>
      <w:tr w:rsidR="00A13197" w:rsidRPr="0083352F" w14:paraId="1AF88B3F" w14:textId="77777777" w:rsidTr="00A13197">
        <w:trPr>
          <w:trHeight w:val="289"/>
        </w:trPr>
        <w:tc>
          <w:tcPr>
            <w:tcW w:w="4712" w:type="dxa"/>
          </w:tcPr>
          <w:p w14:paraId="63D12FAF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14:paraId="6B1F40DC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Director:</w:t>
            </w:r>
          </w:p>
          <w:p w14:paraId="29083488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14:paraId="3AD3FB94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/>
                <w:sz w:val="24"/>
                <w:szCs w:val="24"/>
                <w:lang w:val="ro-MD"/>
              </w:rPr>
              <w:t>/__________________</w:t>
            </w:r>
          </w:p>
          <w:p w14:paraId="7167431D" w14:textId="77777777" w:rsidR="00A13197" w:rsidRPr="002635FA" w:rsidRDefault="00A13197" w:rsidP="00A13197">
            <w:pPr>
              <w:pStyle w:val="NormalWeb"/>
              <w:ind w:firstLine="0"/>
              <w:rPr>
                <w:lang w:val="ro-MD"/>
              </w:rPr>
            </w:pPr>
            <w:r w:rsidRPr="002635FA">
              <w:rPr>
                <w:lang w:val="ro-MD"/>
              </w:rPr>
              <w:t xml:space="preserve">                                                </w:t>
            </w:r>
          </w:p>
          <w:p w14:paraId="2186B463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  <w:r w:rsidRPr="002635FA">
              <w:rPr>
                <w:lang w:val="ro-MD"/>
              </w:rPr>
              <w:t xml:space="preserve">                                        L.Ș.</w:t>
            </w:r>
          </w:p>
        </w:tc>
        <w:tc>
          <w:tcPr>
            <w:tcW w:w="4961" w:type="dxa"/>
          </w:tcPr>
          <w:p w14:paraId="47C2EF63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  <w:r w:rsidRPr="002635FA">
              <w:rPr>
                <w:b/>
                <w:lang w:val="ro-MD"/>
              </w:rPr>
              <w:t>ÎM „Efes Vitanta Moldova Brewery” S.A.</w:t>
            </w:r>
          </w:p>
          <w:p w14:paraId="1C66965D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Adresa: Republica Moldova, MD-2023</w:t>
            </w:r>
          </w:p>
          <w:p w14:paraId="26A328C1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mun. Chișinău, str. Uzinelor, 167 </w:t>
            </w:r>
          </w:p>
          <w:p w14:paraId="5C5F4C14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Tel: 022 885-204 / fax: 022 428 200 </w:t>
            </w:r>
          </w:p>
          <w:p w14:paraId="4EF67E8C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Cod </w:t>
            </w:r>
            <w:r w:rsidRPr="002635FA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fiscal: 1003600015208</w:t>
            </w:r>
          </w:p>
          <w:p w14:paraId="61618E2F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Cod TVA: 0400084</w:t>
            </w:r>
          </w:p>
          <w:p w14:paraId="76988C4B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IBAN: MD90MO2251ASV36763717100</w:t>
            </w:r>
          </w:p>
          <w:p w14:paraId="554B16AD" w14:textId="77777777" w:rsidR="00A13197" w:rsidRPr="002635FA" w:rsidRDefault="00A13197" w:rsidP="00A1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35FA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Banca: </w:t>
            </w:r>
            <w:r w:rsidRPr="002635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B.C.OTP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Bank</w:t>
            </w:r>
            <w:r w:rsidRPr="002635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S.A.</w:t>
            </w:r>
          </w:p>
          <w:p w14:paraId="3CB1C762" w14:textId="77777777" w:rsidR="00A13197" w:rsidRPr="002635FA" w:rsidRDefault="00A13197" w:rsidP="00A1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BIC: MOBBMD22</w:t>
            </w:r>
          </w:p>
          <w:p w14:paraId="0B3AE0F5" w14:textId="77777777" w:rsidR="00A13197" w:rsidRPr="002635FA" w:rsidRDefault="00A13197" w:rsidP="00A13197">
            <w:pPr>
              <w:pStyle w:val="NormalWeb"/>
              <w:ind w:firstLine="0"/>
              <w:rPr>
                <w:rStyle w:val="Hyperlink"/>
                <w:color w:val="000000" w:themeColor="text1"/>
                <w:lang w:val="ro-MD"/>
              </w:rPr>
            </w:pPr>
            <w:r w:rsidRPr="002635FA">
              <w:rPr>
                <w:rFonts w:eastAsia="Calibri"/>
                <w:lang w:val="ro-MD"/>
              </w:rPr>
              <w:t xml:space="preserve">e-mail: </w:t>
            </w:r>
            <w:r w:rsidRPr="0087503D">
              <w:rPr>
                <w:rFonts w:eastAsia="Calibri"/>
                <w:lang w:val="ro-MD"/>
              </w:rPr>
              <w:t>olga.surucinschi@md.anadoluefes.com</w:t>
            </w:r>
          </w:p>
          <w:p w14:paraId="6CD4CF1F" w14:textId="77777777" w:rsidR="00A13197" w:rsidRDefault="00A13197" w:rsidP="00A13197">
            <w:pPr>
              <w:pStyle w:val="NormalWeb"/>
              <w:ind w:firstLine="0"/>
              <w:rPr>
                <w:lang w:val="en-US"/>
              </w:rPr>
            </w:pPr>
          </w:p>
          <w:p w14:paraId="3B1ADA56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</w:p>
          <w:p w14:paraId="1036FBAC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Director General:</w:t>
            </w:r>
          </w:p>
          <w:p w14:paraId="2861B493" w14:textId="77777777" w:rsidR="00A13197" w:rsidRPr="002635FA" w:rsidRDefault="00A13197" w:rsidP="00A1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14:paraId="475942FE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  <w:r w:rsidRPr="00E81401">
              <w:rPr>
                <w:b/>
                <w:lang w:val="ro-MD"/>
              </w:rPr>
              <w:t>Alphan Akpece</w:t>
            </w:r>
            <w:r w:rsidRPr="002635FA">
              <w:rPr>
                <w:b/>
                <w:lang w:val="ro-MD"/>
              </w:rPr>
              <w:t xml:space="preserve"> </w:t>
            </w:r>
            <w:r w:rsidRPr="002635FA">
              <w:rPr>
                <w:lang w:val="ro-MD"/>
              </w:rPr>
              <w:t>/_______</w:t>
            </w:r>
            <w:r>
              <w:rPr>
                <w:lang w:val="ro-MD"/>
              </w:rPr>
              <w:t>____</w:t>
            </w:r>
            <w:r w:rsidRPr="002635FA">
              <w:rPr>
                <w:lang w:val="ro-MD"/>
              </w:rPr>
              <w:t>_________</w:t>
            </w:r>
          </w:p>
          <w:p w14:paraId="466BF113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</w:p>
          <w:p w14:paraId="360C47D6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  <w:r w:rsidRPr="002635FA">
              <w:rPr>
                <w:lang w:val="en-US"/>
              </w:rPr>
              <w:t xml:space="preserve">                                                 </w:t>
            </w:r>
            <w:r w:rsidRPr="002635FA">
              <w:rPr>
                <w:lang w:val="ro-MD"/>
              </w:rPr>
              <w:t>L.Ș</w:t>
            </w:r>
          </w:p>
          <w:p w14:paraId="102C9FBB" w14:textId="77777777" w:rsidR="00A13197" w:rsidRPr="002635FA" w:rsidRDefault="00A13197" w:rsidP="00A13197">
            <w:pPr>
              <w:pStyle w:val="NormalWeb"/>
              <w:ind w:firstLine="0"/>
              <w:rPr>
                <w:lang w:val="en-US"/>
              </w:rPr>
            </w:pPr>
          </w:p>
        </w:tc>
      </w:tr>
    </w:tbl>
    <w:p w14:paraId="6EE267F4" w14:textId="65178DE7" w:rsidR="00A13197" w:rsidRPr="00A13197" w:rsidRDefault="00A13197" w:rsidP="00A13197">
      <w:pPr>
        <w:tabs>
          <w:tab w:val="left" w:pos="5553"/>
        </w:tabs>
        <w:rPr>
          <w:lang w:val="en-US"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E0434E" w14:paraId="12FBAC97" w14:textId="77777777">
        <w:trPr>
          <w:trHeight w:val="131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2A03ED6" w14:textId="1AC5248D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lastRenderedPageBreak/>
              <w:t>Anexa nr. 1</w:t>
            </w:r>
          </w:p>
          <w:p w14:paraId="48976F1C" w14:textId="1E48DACD" w:rsidR="00E0434E" w:rsidRDefault="0028651D">
            <w:pPr>
              <w:pStyle w:val="NormalWeb"/>
              <w:jc w:val="righ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la Contractul nr. </w:t>
            </w:r>
          </w:p>
          <w:p w14:paraId="748E5711" w14:textId="6BFEBDDE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din </w:t>
            </w:r>
          </w:p>
          <w:p w14:paraId="13AF1579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3ED784D2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6D0F392A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C10E808" w14:textId="26C6CDDC" w:rsidR="00E0434E" w:rsidRDefault="000E7263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>Volumele de gaze pentru furnizare în anul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gazier</w:t>
            </w:r>
            <w:proofErr w:type="spellEnd"/>
            <w:r w:rsidR="00733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 xml:space="preserve"> </w:t>
            </w:r>
          </w:p>
          <w:p w14:paraId="2FA26AC7" w14:textId="77777777" w:rsidR="00E0434E" w:rsidRDefault="00E043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3332"/>
              <w:gridCol w:w="1657"/>
              <w:gridCol w:w="1452"/>
              <w:gridCol w:w="1370"/>
              <w:gridCol w:w="1370"/>
            </w:tblGrid>
            <w:tr w:rsidR="00E0434E" w:rsidRPr="006B4A7E" w14:paraId="7FFD699E" w14:textId="77777777">
              <w:trPr>
                <w:jc w:val="center"/>
              </w:trPr>
              <w:tc>
                <w:tcPr>
                  <w:tcW w:w="55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4E70F1E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Nr.</w:t>
                  </w:r>
                </w:p>
                <w:p w14:paraId="2F3B9591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d/c</w:t>
                  </w:r>
                </w:p>
              </w:tc>
              <w:tc>
                <w:tcPr>
                  <w:tcW w:w="3332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BE5A0D6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Perioada</w:t>
                  </w:r>
                </w:p>
              </w:tc>
              <w:tc>
                <w:tcPr>
                  <w:tcW w:w="165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357FE51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Unitatea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de</w:t>
                  </w:r>
                </w:p>
                <w:p w14:paraId="71C45BB0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masur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ă</w:t>
                  </w:r>
                </w:p>
              </w:tc>
              <w:tc>
                <w:tcPr>
                  <w:tcW w:w="4192" w:type="dxa"/>
                  <w:gridSpan w:val="3"/>
                  <w:shd w:val="clear" w:color="auto" w:fill="F2F2F2" w:themeFill="background1" w:themeFillShade="F2"/>
                </w:tcPr>
                <w:p w14:paraId="14FE6F38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Volumul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de gaze</w:t>
                  </w:r>
                </w:p>
              </w:tc>
            </w:tr>
            <w:tr w:rsidR="00E0434E" w:rsidRPr="006B4A7E" w14:paraId="66CBBF6F" w14:textId="77777777">
              <w:trPr>
                <w:jc w:val="center"/>
              </w:trPr>
              <w:tc>
                <w:tcPr>
                  <w:tcW w:w="556" w:type="dxa"/>
                  <w:vMerge/>
                  <w:shd w:val="clear" w:color="auto" w:fill="F2F2F2" w:themeFill="background1" w:themeFillShade="F2"/>
                </w:tcPr>
                <w:p w14:paraId="37C9CE08" w14:textId="77777777" w:rsidR="00E0434E" w:rsidRDefault="00E0434E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  <w:vMerge/>
                  <w:shd w:val="clear" w:color="auto" w:fill="F2F2F2" w:themeFill="background1" w:themeFillShade="F2"/>
                </w:tcPr>
                <w:p w14:paraId="53F1D7A8" w14:textId="77777777" w:rsidR="00E0434E" w:rsidRDefault="00E0434E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657" w:type="dxa"/>
                  <w:vMerge/>
                  <w:shd w:val="clear" w:color="auto" w:fill="F2F2F2" w:themeFill="background1" w:themeFillShade="F2"/>
                </w:tcPr>
                <w:p w14:paraId="7FEB1E32" w14:textId="77777777" w:rsidR="00E0434E" w:rsidRDefault="00E0434E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</w:pPr>
                </w:p>
              </w:tc>
              <w:tc>
                <w:tcPr>
                  <w:tcW w:w="1452" w:type="dxa"/>
                  <w:shd w:val="clear" w:color="auto" w:fill="F2F2F2" w:themeFill="background1" w:themeFillShade="F2"/>
                </w:tcPr>
                <w:p w14:paraId="79F26004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Înaltă presiune</w:t>
                  </w:r>
                </w:p>
              </w:tc>
              <w:tc>
                <w:tcPr>
                  <w:tcW w:w="1370" w:type="dxa"/>
                  <w:shd w:val="clear" w:color="auto" w:fill="F2F2F2" w:themeFill="background1" w:themeFillShade="F2"/>
                </w:tcPr>
                <w:p w14:paraId="625A8365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Medie presiune</w:t>
                  </w:r>
                </w:p>
              </w:tc>
              <w:tc>
                <w:tcPr>
                  <w:tcW w:w="1370" w:type="dxa"/>
                  <w:shd w:val="clear" w:color="auto" w:fill="F2F2F2" w:themeFill="background1" w:themeFillShade="F2"/>
                </w:tcPr>
                <w:p w14:paraId="456FA2F7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Joasă presiune</w:t>
                  </w:r>
                </w:p>
              </w:tc>
            </w:tr>
            <w:tr w:rsidR="00787AA5" w:rsidRPr="006B4A7E" w14:paraId="0C4CF168" w14:textId="77777777">
              <w:trPr>
                <w:jc w:val="center"/>
              </w:trPr>
              <w:tc>
                <w:tcPr>
                  <w:tcW w:w="556" w:type="dxa"/>
                </w:tcPr>
                <w:p w14:paraId="317C0022" w14:textId="77777777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</w:tcPr>
                <w:p w14:paraId="7D1DE706" w14:textId="77777777" w:rsidR="00787AA5" w:rsidRDefault="005D0092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1657" w:type="dxa"/>
                </w:tcPr>
                <w:p w14:paraId="7F34C6BD" w14:textId="77777777" w:rsidR="00787AA5" w:rsidRDefault="00787AA5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26B940B7" w14:textId="77777777" w:rsidR="00787AA5" w:rsidRDefault="00787AA5" w:rsidP="0083352F">
                  <w:pPr>
                    <w:framePr w:hSpace="180" w:wrap="around" w:vAnchor="text" w:hAnchor="text" w:xAlign="center" w:y="1"/>
                    <w:tabs>
                      <w:tab w:val="left" w:pos="276"/>
                      <w:tab w:val="center" w:pos="577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2BF4704B" w14:textId="26534769" w:rsidR="00787AA5" w:rsidRDefault="00787AA5" w:rsidP="0083352F">
                  <w:pPr>
                    <w:framePr w:hSpace="180" w:wrap="around" w:vAnchor="text" w:hAnchor="text" w:xAlign="center" w:y="1"/>
                    <w:tabs>
                      <w:tab w:val="left" w:pos="276"/>
                      <w:tab w:val="center" w:pos="577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5B84AF7B" w14:textId="77777777" w:rsidR="00787AA5" w:rsidRDefault="00787AA5" w:rsidP="0083352F">
                  <w:pPr>
                    <w:framePr w:hSpace="180" w:wrap="around" w:vAnchor="text" w:hAnchor="text" w:xAlign="center" w:y="1"/>
                    <w:tabs>
                      <w:tab w:val="left" w:pos="276"/>
                      <w:tab w:val="center" w:pos="577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74CAEE97" w14:textId="77777777">
              <w:trPr>
                <w:jc w:val="center"/>
              </w:trPr>
              <w:tc>
                <w:tcPr>
                  <w:tcW w:w="556" w:type="dxa"/>
                </w:tcPr>
                <w:p w14:paraId="7ED5CF96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3332" w:type="dxa"/>
                </w:tcPr>
                <w:p w14:paraId="6B899F28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Aprilie</w:t>
                  </w:r>
                </w:p>
              </w:tc>
              <w:tc>
                <w:tcPr>
                  <w:tcW w:w="1657" w:type="dxa"/>
                </w:tcPr>
                <w:p w14:paraId="19ABB081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6A9EF8C9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FBB3280" w14:textId="63E749D4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7B8D3F86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0A41CB4E" w14:textId="77777777">
              <w:trPr>
                <w:jc w:val="center"/>
              </w:trPr>
              <w:tc>
                <w:tcPr>
                  <w:tcW w:w="556" w:type="dxa"/>
                </w:tcPr>
                <w:p w14:paraId="282FFAE3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3332" w:type="dxa"/>
                </w:tcPr>
                <w:p w14:paraId="53B89CD2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Mai</w:t>
                  </w:r>
                </w:p>
              </w:tc>
              <w:tc>
                <w:tcPr>
                  <w:tcW w:w="1657" w:type="dxa"/>
                </w:tcPr>
                <w:p w14:paraId="6C6513A1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CAF048A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14E287A" w14:textId="3B083D2E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0E73C463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0A9E8D74" w14:textId="77777777">
              <w:trPr>
                <w:jc w:val="center"/>
              </w:trPr>
              <w:tc>
                <w:tcPr>
                  <w:tcW w:w="556" w:type="dxa"/>
                </w:tcPr>
                <w:p w14:paraId="192131CD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3332" w:type="dxa"/>
                </w:tcPr>
                <w:p w14:paraId="29803D5F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Iunie</w:t>
                  </w:r>
                  <w:proofErr w:type="spellEnd"/>
                </w:p>
              </w:tc>
              <w:tc>
                <w:tcPr>
                  <w:tcW w:w="1657" w:type="dxa"/>
                </w:tcPr>
                <w:p w14:paraId="37BF2C52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3C141237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90BAC4F" w14:textId="461FEE85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7FDE34DA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5D0092" w:rsidRPr="006B4A7E" w14:paraId="683C6EB5" w14:textId="77777777">
              <w:trPr>
                <w:jc w:val="center"/>
              </w:trPr>
              <w:tc>
                <w:tcPr>
                  <w:tcW w:w="556" w:type="dxa"/>
                </w:tcPr>
                <w:p w14:paraId="7FA55129" w14:textId="77777777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</w:tcPr>
                <w:p w14:paraId="042790AD" w14:textId="77777777" w:rsidR="005D0092" w:rsidRDefault="005D0092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I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 xml:space="preserve"> trimestru 2025</w:t>
                  </w:r>
                </w:p>
              </w:tc>
              <w:tc>
                <w:tcPr>
                  <w:tcW w:w="1657" w:type="dxa"/>
                </w:tcPr>
                <w:p w14:paraId="7CE5FD35" w14:textId="77777777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1E2FDB95" w14:textId="77777777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2D07AA63" w14:textId="520E31DE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1A2067D7" w14:textId="77777777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2435439C" w14:textId="77777777">
              <w:trPr>
                <w:jc w:val="center"/>
              </w:trPr>
              <w:tc>
                <w:tcPr>
                  <w:tcW w:w="556" w:type="dxa"/>
                </w:tcPr>
                <w:p w14:paraId="716FFA28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3332" w:type="dxa"/>
                </w:tcPr>
                <w:p w14:paraId="6FDCB9A7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Iulie</w:t>
                  </w:r>
                </w:p>
              </w:tc>
              <w:tc>
                <w:tcPr>
                  <w:tcW w:w="1657" w:type="dxa"/>
                </w:tcPr>
                <w:p w14:paraId="01CB35E1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6BDEB61A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59FCFA95" w14:textId="059BEB6B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59260FB4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105680F1" w14:textId="77777777">
              <w:trPr>
                <w:jc w:val="center"/>
              </w:trPr>
              <w:tc>
                <w:tcPr>
                  <w:tcW w:w="556" w:type="dxa"/>
                </w:tcPr>
                <w:p w14:paraId="2A6F7BA2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3332" w:type="dxa"/>
                </w:tcPr>
                <w:p w14:paraId="11E6C607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August</w:t>
                  </w:r>
                </w:p>
              </w:tc>
              <w:tc>
                <w:tcPr>
                  <w:tcW w:w="1657" w:type="dxa"/>
                </w:tcPr>
                <w:p w14:paraId="5D47BBA7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23F6EFF4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536027E6" w14:textId="49A30C36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2AE78E9A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54E058D1" w14:textId="77777777">
              <w:trPr>
                <w:jc w:val="center"/>
              </w:trPr>
              <w:tc>
                <w:tcPr>
                  <w:tcW w:w="556" w:type="dxa"/>
                </w:tcPr>
                <w:p w14:paraId="619D4C9B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3332" w:type="dxa"/>
                </w:tcPr>
                <w:p w14:paraId="6A90B2D8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Septembrie</w:t>
                  </w:r>
                </w:p>
              </w:tc>
              <w:tc>
                <w:tcPr>
                  <w:tcW w:w="1657" w:type="dxa"/>
                </w:tcPr>
                <w:p w14:paraId="4C29EED2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FBBCCC5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2ABA3A4" w14:textId="0F185122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6DB1B101" w14:textId="77777777" w:rsidR="00D25083" w:rsidRDefault="00D2508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5D0092" w:rsidRPr="006B4A7E" w14:paraId="621D1243" w14:textId="77777777">
              <w:trPr>
                <w:trHeight w:val="236"/>
                <w:jc w:val="center"/>
              </w:trPr>
              <w:tc>
                <w:tcPr>
                  <w:tcW w:w="556" w:type="dxa"/>
                </w:tcPr>
                <w:p w14:paraId="3DBC21AB" w14:textId="77777777" w:rsidR="005D0092" w:rsidRDefault="005D0092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</w:tcPr>
                <w:p w14:paraId="75646B7E" w14:textId="77777777" w:rsidR="005D0092" w:rsidRDefault="005D0092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2025</w:t>
                  </w:r>
                </w:p>
              </w:tc>
              <w:tc>
                <w:tcPr>
                  <w:tcW w:w="1657" w:type="dxa"/>
                </w:tcPr>
                <w:p w14:paraId="287CC0D4" w14:textId="77777777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54FE48D3" w14:textId="77777777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3A3CAF41" w14:textId="32ED2CD7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451C19F8" w14:textId="77777777" w:rsidR="005D0092" w:rsidRDefault="005D0092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0711DBDC" w14:textId="77777777">
              <w:trPr>
                <w:jc w:val="center"/>
              </w:trPr>
              <w:tc>
                <w:tcPr>
                  <w:tcW w:w="556" w:type="dxa"/>
                </w:tcPr>
                <w:p w14:paraId="10528602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3332" w:type="dxa"/>
                </w:tcPr>
                <w:p w14:paraId="48EBC342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Octombrie</w:t>
                  </w:r>
                </w:p>
              </w:tc>
              <w:tc>
                <w:tcPr>
                  <w:tcW w:w="1657" w:type="dxa"/>
                </w:tcPr>
                <w:p w14:paraId="17AE8E3A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1E92F2FB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06804B99" w14:textId="4FDE0361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02E0D9D8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D25083" w:rsidRPr="006B4A7E" w14:paraId="51B8D7A9" w14:textId="77777777">
              <w:trPr>
                <w:jc w:val="center"/>
              </w:trPr>
              <w:tc>
                <w:tcPr>
                  <w:tcW w:w="556" w:type="dxa"/>
                </w:tcPr>
                <w:p w14:paraId="532C36BA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3332" w:type="dxa"/>
                </w:tcPr>
                <w:p w14:paraId="623C6A0E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Noiembrie</w:t>
                  </w:r>
                  <w:proofErr w:type="spellEnd"/>
                </w:p>
              </w:tc>
              <w:tc>
                <w:tcPr>
                  <w:tcW w:w="1657" w:type="dxa"/>
                </w:tcPr>
                <w:p w14:paraId="42BD8C9A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CC7D0E6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18A60968" w14:textId="133480D3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34C3AC61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D25083" w:rsidRPr="006B4A7E" w14:paraId="51E4A69B" w14:textId="77777777">
              <w:trPr>
                <w:jc w:val="center"/>
              </w:trPr>
              <w:tc>
                <w:tcPr>
                  <w:tcW w:w="556" w:type="dxa"/>
                </w:tcPr>
                <w:p w14:paraId="3B3640BE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3332" w:type="dxa"/>
                </w:tcPr>
                <w:p w14:paraId="2B5E8467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Decembrie</w:t>
                  </w:r>
                </w:p>
              </w:tc>
              <w:tc>
                <w:tcPr>
                  <w:tcW w:w="1657" w:type="dxa"/>
                </w:tcPr>
                <w:p w14:paraId="640A32EA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650307E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7D614AC7" w14:textId="603ED74C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187EC1FC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787AA5" w:rsidRPr="006B4A7E" w14:paraId="39D6FA97" w14:textId="77777777">
              <w:trPr>
                <w:jc w:val="center"/>
              </w:trPr>
              <w:tc>
                <w:tcPr>
                  <w:tcW w:w="556" w:type="dxa"/>
                </w:tcPr>
                <w:p w14:paraId="4BD85BC7" w14:textId="77777777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2" w:type="dxa"/>
                </w:tcPr>
                <w:p w14:paraId="4645C878" w14:textId="77777777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</w:t>
                  </w:r>
                  <w:r w:rsidR="00D250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1657" w:type="dxa"/>
                </w:tcPr>
                <w:p w14:paraId="7E288200" w14:textId="77777777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7310351B" w14:textId="77777777" w:rsidR="00787AA5" w:rsidRDefault="00787AA5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4FD2376E" w14:textId="65D664BC" w:rsidR="00787AA5" w:rsidRDefault="00787AA5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4EA56315" w14:textId="77777777" w:rsidR="00787AA5" w:rsidRDefault="00787AA5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D25083" w:rsidRPr="006B4A7E" w14:paraId="02FF9406" w14:textId="77777777">
              <w:trPr>
                <w:jc w:val="center"/>
              </w:trPr>
              <w:tc>
                <w:tcPr>
                  <w:tcW w:w="556" w:type="dxa"/>
                </w:tcPr>
                <w:p w14:paraId="07584428" w14:textId="77777777" w:rsidR="00D25083" w:rsidRPr="006B4A7E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3332" w:type="dxa"/>
                </w:tcPr>
                <w:p w14:paraId="603B6914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Ianuarie</w:t>
                  </w:r>
                </w:p>
              </w:tc>
              <w:tc>
                <w:tcPr>
                  <w:tcW w:w="1657" w:type="dxa"/>
                </w:tcPr>
                <w:p w14:paraId="623B0718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0D8C13F7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51E6A1F4" w14:textId="6CE3703D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17DFE276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D25083" w:rsidRPr="006B4A7E" w14:paraId="51CC92CF" w14:textId="77777777">
              <w:trPr>
                <w:jc w:val="center"/>
              </w:trPr>
              <w:tc>
                <w:tcPr>
                  <w:tcW w:w="556" w:type="dxa"/>
                </w:tcPr>
                <w:p w14:paraId="21DE64C7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332" w:type="dxa"/>
                </w:tcPr>
                <w:p w14:paraId="6BCCDB6B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Februarie</w:t>
                  </w:r>
                </w:p>
              </w:tc>
              <w:tc>
                <w:tcPr>
                  <w:tcW w:w="1657" w:type="dxa"/>
                </w:tcPr>
                <w:p w14:paraId="2D0A8066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06EC8B85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3BB12537" w14:textId="6C55BC3C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15ED75CA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D25083" w:rsidRPr="006B4A7E" w14:paraId="76B4FFD8" w14:textId="77777777">
              <w:trPr>
                <w:jc w:val="center"/>
              </w:trPr>
              <w:tc>
                <w:tcPr>
                  <w:tcW w:w="556" w:type="dxa"/>
                </w:tcPr>
                <w:p w14:paraId="3028F388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3332" w:type="dxa"/>
                </w:tcPr>
                <w:p w14:paraId="2E136433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Martie</w:t>
                  </w:r>
                </w:p>
              </w:tc>
              <w:tc>
                <w:tcPr>
                  <w:tcW w:w="1657" w:type="dxa"/>
                </w:tcPr>
                <w:p w14:paraId="38F7D06B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16037530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1DB35D86" w14:textId="30232F2D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0517A22B" w14:textId="77777777" w:rsidR="00D25083" w:rsidRDefault="00D2508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787AA5" w:rsidRPr="006B4A7E" w14:paraId="1590C33C" w14:textId="77777777">
              <w:trPr>
                <w:jc w:val="center"/>
              </w:trPr>
              <w:tc>
                <w:tcPr>
                  <w:tcW w:w="3888" w:type="dxa"/>
                  <w:gridSpan w:val="2"/>
                </w:tcPr>
                <w:p w14:paraId="18C7F277" w14:textId="77777777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Total,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presiune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:</w:t>
                  </w:r>
                </w:p>
              </w:tc>
              <w:tc>
                <w:tcPr>
                  <w:tcW w:w="1657" w:type="dxa"/>
                </w:tcPr>
                <w:p w14:paraId="49AD6F69" w14:textId="77777777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1D97E11E" w14:textId="77777777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6A40ACC" w14:textId="50D5A20B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3E3F1837" w14:textId="77777777" w:rsidR="00787AA5" w:rsidRDefault="00787AA5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E0434E" w:rsidRPr="006B4A7E" w14:paraId="38E10119" w14:textId="77777777">
              <w:trPr>
                <w:jc w:val="center"/>
              </w:trPr>
              <w:tc>
                <w:tcPr>
                  <w:tcW w:w="3888" w:type="dxa"/>
                  <w:gridSpan w:val="2"/>
                </w:tcPr>
                <w:p w14:paraId="6D9E92AF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TOTAL:</w:t>
                  </w:r>
                </w:p>
              </w:tc>
              <w:tc>
                <w:tcPr>
                  <w:tcW w:w="1657" w:type="dxa"/>
                </w:tcPr>
                <w:p w14:paraId="776E451F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4192" w:type="dxa"/>
                  <w:gridSpan w:val="3"/>
                  <w:shd w:val="clear" w:color="auto" w:fill="auto"/>
                </w:tcPr>
                <w:p w14:paraId="5C5EB8B6" w14:textId="2EB671E3" w:rsidR="00E0434E" w:rsidRDefault="00E0434E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14:paraId="2AF3F3E6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BE093E5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2D88F3E3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7A011125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983"/>
              <w:gridCol w:w="4740"/>
            </w:tblGrid>
            <w:tr w:rsidR="00DD5B50" w:rsidRPr="006B4A7E" w14:paraId="0DD80AB0" w14:textId="77777777" w:rsidTr="00ED6FAC">
              <w:trPr>
                <w:trHeight w:val="401"/>
              </w:trPr>
              <w:tc>
                <w:tcPr>
                  <w:tcW w:w="5245" w:type="dxa"/>
                </w:tcPr>
                <w:p w14:paraId="2742C706" w14:textId="77777777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b/>
                      <w:color w:val="000000" w:themeColor="text1"/>
                      <w:lang w:val="ro-RO"/>
                    </w:rPr>
                  </w:pPr>
                  <w:r w:rsidRPr="002635FA">
                    <w:rPr>
                      <w:b/>
                      <w:color w:val="000000" w:themeColor="text1"/>
                      <w:lang w:val="it-IT"/>
                    </w:rPr>
                    <w:t xml:space="preserve">            Furnizorul</w:t>
                  </w:r>
                </w:p>
              </w:tc>
              <w:tc>
                <w:tcPr>
                  <w:tcW w:w="4961" w:type="dxa"/>
                </w:tcPr>
                <w:p w14:paraId="47D9E94D" w14:textId="77777777" w:rsidR="00DD5B50" w:rsidRPr="002635FA" w:rsidRDefault="00DD5B50" w:rsidP="0083352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it-IT" w:eastAsia="ru-RU"/>
                    </w:rPr>
                    <w:t>Consumatorul noncasnic</w:t>
                  </w:r>
                </w:p>
              </w:tc>
            </w:tr>
            <w:tr w:rsidR="00DD5B50" w:rsidRPr="0083352F" w14:paraId="382BBCBC" w14:textId="77777777" w:rsidTr="00ED6FAC">
              <w:trPr>
                <w:trHeight w:val="360"/>
              </w:trPr>
              <w:tc>
                <w:tcPr>
                  <w:tcW w:w="5245" w:type="dxa"/>
                </w:tcPr>
                <w:p w14:paraId="341EC201" w14:textId="1E6E075F" w:rsidR="00DD5B50" w:rsidRPr="00DD5B50" w:rsidRDefault="00DD5B50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Calibri"/>
                      <w:b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4961" w:type="dxa"/>
                </w:tcPr>
                <w:p w14:paraId="1B055F75" w14:textId="77777777" w:rsidR="00DD5B50" w:rsidRP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lang w:val="en-US"/>
                    </w:rPr>
                  </w:pPr>
                  <w:r w:rsidRPr="002635FA">
                    <w:rPr>
                      <w:b/>
                      <w:lang w:val="ro-MD"/>
                    </w:rPr>
                    <w:t>ÎM „Efes Vitanta Moldova Brewery” S.A.</w:t>
                  </w:r>
                </w:p>
              </w:tc>
            </w:tr>
            <w:tr w:rsidR="00DD5B50" w:rsidRPr="0083352F" w14:paraId="0D737C5F" w14:textId="77777777" w:rsidTr="00ED6FAC">
              <w:trPr>
                <w:trHeight w:val="858"/>
              </w:trPr>
              <w:tc>
                <w:tcPr>
                  <w:tcW w:w="5245" w:type="dxa"/>
                </w:tcPr>
                <w:p w14:paraId="00F438BD" w14:textId="77777777" w:rsid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b/>
                      <w:lang w:val="ro-MD"/>
                    </w:rPr>
                  </w:pPr>
                </w:p>
                <w:p w14:paraId="3431663B" w14:textId="7E1D7BF5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color w:val="000000" w:themeColor="text1"/>
                      <w:lang w:val="ro-RO"/>
                    </w:rPr>
                  </w:pPr>
                  <w:r w:rsidRPr="002635FA">
                    <w:rPr>
                      <w:lang w:val="ro-MD"/>
                    </w:rPr>
                    <w:t>/</w:t>
                  </w:r>
                  <w:r w:rsidRPr="002635FA">
                    <w:rPr>
                      <w:color w:val="000000" w:themeColor="text1"/>
                      <w:lang w:val="it-IT"/>
                    </w:rPr>
                    <w:t xml:space="preserve">_____________/  </w:t>
                  </w:r>
                </w:p>
              </w:tc>
              <w:tc>
                <w:tcPr>
                  <w:tcW w:w="4961" w:type="dxa"/>
                </w:tcPr>
                <w:p w14:paraId="662BA86B" w14:textId="77777777" w:rsid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b/>
                      <w:lang w:val="ro-MD"/>
                    </w:rPr>
                  </w:pPr>
                </w:p>
                <w:p w14:paraId="33E9050C" w14:textId="77777777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E81401">
                    <w:rPr>
                      <w:b/>
                      <w:lang w:val="ro-MD"/>
                    </w:rPr>
                    <w:t>Alphan Akpece</w:t>
                  </w: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>____</w:t>
                  </w:r>
                  <w:r>
                    <w:rPr>
                      <w:color w:val="000000" w:themeColor="text1"/>
                      <w:lang w:val="it-IT"/>
                    </w:rPr>
                    <w:t>__</w:t>
                  </w:r>
                  <w:r w:rsidRPr="002635FA">
                    <w:rPr>
                      <w:color w:val="000000" w:themeColor="text1"/>
                      <w:lang w:val="it-IT"/>
                    </w:rPr>
                    <w:t>_________/</w:t>
                  </w:r>
                </w:p>
              </w:tc>
            </w:tr>
          </w:tbl>
          <w:p w14:paraId="4D3D0120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3860FB92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7B9FECCC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414C495E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26A76D59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001AACC7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1A62FFAC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62F737DC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4126DAFB" w14:textId="77777777" w:rsidR="009E2DEC" w:rsidRDefault="009E2DEC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0AAB95FF" w14:textId="77777777" w:rsidR="009E2DEC" w:rsidRDefault="009E2DEC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73A5FDB3" w14:textId="77777777" w:rsidR="009E2DEC" w:rsidRDefault="009E2DEC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4202A05B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79CEA549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07A7E6BF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6C1D472B" w14:textId="77777777" w:rsidR="00A13197" w:rsidRDefault="00A13197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4F4BDF5D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1A8603DD" w14:textId="77777777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lastRenderedPageBreak/>
              <w:t>Anexa nr. 2</w:t>
            </w:r>
          </w:p>
          <w:p w14:paraId="224EFABF" w14:textId="3A403D0D" w:rsidR="003921BF" w:rsidRDefault="003921BF" w:rsidP="003921BF">
            <w:pPr>
              <w:pStyle w:val="NormalWeb"/>
              <w:jc w:val="righ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la Contractul nr. </w:t>
            </w:r>
          </w:p>
          <w:p w14:paraId="4AF63379" w14:textId="4D72DC16" w:rsidR="00E0434E" w:rsidRDefault="003921BF" w:rsidP="003921BF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din </w:t>
            </w:r>
          </w:p>
          <w:p w14:paraId="62218ABD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3BD45013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5B10B374" w14:textId="77777777" w:rsidR="00E0434E" w:rsidRDefault="00E0434E">
            <w:pPr>
              <w:pStyle w:val="NormalWeb"/>
              <w:tabs>
                <w:tab w:val="left" w:pos="5745"/>
              </w:tabs>
              <w:jc w:val="center"/>
              <w:rPr>
                <w:b/>
                <w:color w:val="000000" w:themeColor="text1"/>
                <w:lang w:val="it-IT"/>
              </w:rPr>
            </w:pPr>
          </w:p>
          <w:p w14:paraId="2AC15F14" w14:textId="77777777" w:rsidR="00E0434E" w:rsidRDefault="00E0434E">
            <w:pPr>
              <w:pStyle w:val="NormalWeb"/>
              <w:ind w:firstLine="0"/>
              <w:jc w:val="center"/>
              <w:rPr>
                <w:b/>
                <w:color w:val="000000" w:themeColor="text1"/>
                <w:lang w:val="it-IT"/>
              </w:rPr>
            </w:pPr>
          </w:p>
          <w:p w14:paraId="5769585B" w14:textId="4A7212F4" w:rsidR="00E0434E" w:rsidRDefault="000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>Prețul de gaze pentru furnizare  pentru perioada de referință anului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gazier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 xml:space="preserve"> </w:t>
            </w:r>
          </w:p>
          <w:p w14:paraId="7F6F8FF1" w14:textId="77777777" w:rsidR="00E0434E" w:rsidRDefault="00E043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3337"/>
              <w:gridCol w:w="1658"/>
              <w:gridCol w:w="1392"/>
              <w:gridCol w:w="38"/>
              <w:gridCol w:w="1356"/>
              <w:gridCol w:w="19"/>
              <w:gridCol w:w="1375"/>
            </w:tblGrid>
            <w:tr w:rsidR="00E0434E" w:rsidRPr="0083352F" w14:paraId="2449B1CA" w14:textId="77777777">
              <w:trPr>
                <w:jc w:val="center"/>
              </w:trPr>
              <w:tc>
                <w:tcPr>
                  <w:tcW w:w="55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5F21E89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Nr.</w:t>
                  </w:r>
                </w:p>
                <w:p w14:paraId="648A7610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d/c</w:t>
                  </w:r>
                </w:p>
              </w:tc>
              <w:tc>
                <w:tcPr>
                  <w:tcW w:w="333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EE02D3D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Perioada</w:t>
                  </w:r>
                </w:p>
              </w:tc>
              <w:tc>
                <w:tcPr>
                  <w:tcW w:w="165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9344670" w14:textId="77777777" w:rsidR="00E0434E" w:rsidRDefault="000E7263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Unitatea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de</w:t>
                  </w:r>
                </w:p>
                <w:p w14:paraId="157F2941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left" w:pos="495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masur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 xml:space="preserve">ă,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4180" w:type="dxa"/>
                  <w:gridSpan w:val="5"/>
                  <w:shd w:val="clear" w:color="auto" w:fill="F2F2F2" w:themeFill="background1" w:themeFillShade="F2"/>
                </w:tcPr>
                <w:p w14:paraId="4A5E7209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ro-RO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Prețul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de gaze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fără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TVA, lei/1000 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vertAlign w:val="superscript"/>
                      <w:lang w:val="en-US" w:eastAsia="ru-RU"/>
                    </w:rPr>
                    <w:t>3</w:t>
                  </w:r>
                </w:p>
              </w:tc>
            </w:tr>
            <w:tr w:rsidR="00E0434E" w:rsidRPr="006B4A7E" w14:paraId="025C238F" w14:textId="77777777">
              <w:trPr>
                <w:jc w:val="center"/>
              </w:trPr>
              <w:tc>
                <w:tcPr>
                  <w:tcW w:w="556" w:type="dxa"/>
                  <w:vMerge/>
                  <w:shd w:val="clear" w:color="auto" w:fill="F2F2F2" w:themeFill="background1" w:themeFillShade="F2"/>
                </w:tcPr>
                <w:p w14:paraId="3A366927" w14:textId="77777777" w:rsidR="00E0434E" w:rsidRDefault="00E0434E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337" w:type="dxa"/>
                  <w:vMerge/>
                  <w:shd w:val="clear" w:color="auto" w:fill="F2F2F2" w:themeFill="background1" w:themeFillShade="F2"/>
                </w:tcPr>
                <w:p w14:paraId="546CBDAE" w14:textId="77777777" w:rsidR="00E0434E" w:rsidRDefault="00E0434E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</w:p>
              </w:tc>
              <w:tc>
                <w:tcPr>
                  <w:tcW w:w="1658" w:type="dxa"/>
                  <w:vMerge/>
                  <w:shd w:val="clear" w:color="auto" w:fill="F2F2F2" w:themeFill="background1" w:themeFillShade="F2"/>
                </w:tcPr>
                <w:p w14:paraId="6AB5A51C" w14:textId="77777777" w:rsidR="00E0434E" w:rsidRDefault="00E0434E" w:rsidP="0083352F">
                  <w:pPr>
                    <w:framePr w:hSpace="180" w:wrap="around" w:vAnchor="text" w:hAnchor="text" w:xAlign="center" w:y="1"/>
                    <w:tabs>
                      <w:tab w:val="left" w:pos="495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430" w:type="dxa"/>
                  <w:gridSpan w:val="2"/>
                  <w:shd w:val="clear" w:color="auto" w:fill="F2F2F2" w:themeFill="background1" w:themeFillShade="F2"/>
                </w:tcPr>
                <w:p w14:paraId="558C0866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Înaltă presiune</w:t>
                  </w:r>
                </w:p>
              </w:tc>
              <w:tc>
                <w:tcPr>
                  <w:tcW w:w="1375" w:type="dxa"/>
                  <w:gridSpan w:val="2"/>
                  <w:shd w:val="clear" w:color="auto" w:fill="F2F2F2" w:themeFill="background1" w:themeFillShade="F2"/>
                </w:tcPr>
                <w:p w14:paraId="782B1A1A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Medie presiune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14:paraId="28954A9D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o-RO" w:eastAsia="ru-RU"/>
                    </w:rPr>
                    <w:t>Joasă presiune</w:t>
                  </w:r>
                </w:p>
              </w:tc>
            </w:tr>
            <w:tr w:rsidR="00E0434E" w:rsidRPr="006B4A7E" w14:paraId="03CB8875" w14:textId="77777777">
              <w:trPr>
                <w:jc w:val="center"/>
              </w:trPr>
              <w:tc>
                <w:tcPr>
                  <w:tcW w:w="9731" w:type="dxa"/>
                  <w:gridSpan w:val="8"/>
                </w:tcPr>
                <w:p w14:paraId="23CCD31B" w14:textId="77777777" w:rsidR="00E0434E" w:rsidRDefault="005556B9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251E9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</w:t>
                  </w:r>
                  <w:r w:rsidR="00251E9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FC4728" w:rsidRPr="006B4A7E" w14:paraId="117E8CC0" w14:textId="77777777">
              <w:trPr>
                <w:jc w:val="center"/>
              </w:trPr>
              <w:tc>
                <w:tcPr>
                  <w:tcW w:w="556" w:type="dxa"/>
                </w:tcPr>
                <w:p w14:paraId="323EAC39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3337" w:type="dxa"/>
                </w:tcPr>
                <w:p w14:paraId="2961D7A2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Aprilie</w:t>
                  </w:r>
                </w:p>
              </w:tc>
              <w:tc>
                <w:tcPr>
                  <w:tcW w:w="1658" w:type="dxa"/>
                </w:tcPr>
                <w:p w14:paraId="299A1BEC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left" w:pos="495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30" w:type="dxa"/>
                  <w:gridSpan w:val="2"/>
                </w:tcPr>
                <w:p w14:paraId="182DFDCF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5" w:type="dxa"/>
                  <w:gridSpan w:val="2"/>
                </w:tcPr>
                <w:p w14:paraId="376EB635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5" w:type="dxa"/>
                </w:tcPr>
                <w:p w14:paraId="2D50D816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0991D87D" w14:textId="77777777">
              <w:trPr>
                <w:trHeight w:val="165"/>
                <w:jc w:val="center"/>
              </w:trPr>
              <w:tc>
                <w:tcPr>
                  <w:tcW w:w="556" w:type="dxa"/>
                </w:tcPr>
                <w:p w14:paraId="3EEA638A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3337" w:type="dxa"/>
                </w:tcPr>
                <w:p w14:paraId="40F96B0B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Mai</w:t>
                  </w:r>
                </w:p>
              </w:tc>
              <w:tc>
                <w:tcPr>
                  <w:tcW w:w="1658" w:type="dxa"/>
                </w:tcPr>
                <w:p w14:paraId="3B8C4A88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left" w:pos="600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30" w:type="dxa"/>
                  <w:gridSpan w:val="2"/>
                </w:tcPr>
                <w:p w14:paraId="10140C77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75" w:type="dxa"/>
                  <w:gridSpan w:val="2"/>
                </w:tcPr>
                <w:p w14:paraId="6C2EE886" w14:textId="439A8241" w:rsidR="00FC4728" w:rsidRDefault="00A13197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5" w:type="dxa"/>
                </w:tcPr>
                <w:p w14:paraId="5E9B5ED4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77CE425E" w14:textId="77777777">
              <w:trPr>
                <w:jc w:val="center"/>
              </w:trPr>
              <w:tc>
                <w:tcPr>
                  <w:tcW w:w="556" w:type="dxa"/>
                </w:tcPr>
                <w:p w14:paraId="3B2AF559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3337" w:type="dxa"/>
                </w:tcPr>
                <w:p w14:paraId="7A132B2C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Iunie</w:t>
                  </w:r>
                  <w:proofErr w:type="spellEnd"/>
                </w:p>
              </w:tc>
              <w:tc>
                <w:tcPr>
                  <w:tcW w:w="1658" w:type="dxa"/>
                </w:tcPr>
                <w:p w14:paraId="4C6C4100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430" w:type="dxa"/>
                  <w:gridSpan w:val="2"/>
                </w:tcPr>
                <w:p w14:paraId="70068D51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5" w:type="dxa"/>
                  <w:gridSpan w:val="2"/>
                </w:tcPr>
                <w:p w14:paraId="466840FB" w14:textId="7FD5AEA9" w:rsidR="00FC4728" w:rsidRDefault="00A13197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75" w:type="dxa"/>
                </w:tcPr>
                <w:p w14:paraId="2891AE08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E0434E" w:rsidRPr="006B4A7E" w14:paraId="0E2EE677" w14:textId="77777777">
              <w:trPr>
                <w:trHeight w:val="236"/>
                <w:jc w:val="center"/>
              </w:trPr>
              <w:tc>
                <w:tcPr>
                  <w:tcW w:w="9731" w:type="dxa"/>
                  <w:gridSpan w:val="8"/>
                </w:tcPr>
                <w:p w14:paraId="3ED50BB5" w14:textId="77777777" w:rsidR="00E0434E" w:rsidRDefault="00251E9B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II</w:t>
                  </w:r>
                  <w:r w:rsidR="000E72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proofErr w:type="spellStart"/>
                  <w:r w:rsidR="000E72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trimestru</w:t>
                  </w:r>
                  <w:proofErr w:type="spellEnd"/>
                  <w:r w:rsidR="000E726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202</w:t>
                  </w:r>
                  <w:r w:rsidR="005556B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FC4728" w:rsidRPr="006B4A7E" w14:paraId="31B0027C" w14:textId="77777777">
              <w:trPr>
                <w:jc w:val="center"/>
              </w:trPr>
              <w:tc>
                <w:tcPr>
                  <w:tcW w:w="556" w:type="dxa"/>
                </w:tcPr>
                <w:p w14:paraId="384C1030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3337" w:type="dxa"/>
                </w:tcPr>
                <w:p w14:paraId="5915DAAD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Iulie</w:t>
                  </w:r>
                </w:p>
              </w:tc>
              <w:tc>
                <w:tcPr>
                  <w:tcW w:w="1658" w:type="dxa"/>
                </w:tcPr>
                <w:p w14:paraId="36730580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left" w:pos="495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75A6D37E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1C0C7A5E" w14:textId="70F5E196" w:rsidR="00FC4728" w:rsidRDefault="00A13197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25BF29B6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25EFB9D3" w14:textId="77777777">
              <w:trPr>
                <w:jc w:val="center"/>
              </w:trPr>
              <w:tc>
                <w:tcPr>
                  <w:tcW w:w="556" w:type="dxa"/>
                </w:tcPr>
                <w:p w14:paraId="485C20F1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3337" w:type="dxa"/>
                </w:tcPr>
                <w:p w14:paraId="1168ABD9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August</w:t>
                  </w:r>
                </w:p>
              </w:tc>
              <w:tc>
                <w:tcPr>
                  <w:tcW w:w="1658" w:type="dxa"/>
                </w:tcPr>
                <w:p w14:paraId="779565B1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left" w:pos="600"/>
                      <w:tab w:val="center" w:pos="749"/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396B2A8B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5F4BD80F" w14:textId="503511B9" w:rsidR="00FC4728" w:rsidRDefault="00A13197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BAC8ED0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1FFDB4CB" w14:textId="77777777">
              <w:trPr>
                <w:jc w:val="center"/>
              </w:trPr>
              <w:tc>
                <w:tcPr>
                  <w:tcW w:w="556" w:type="dxa"/>
                </w:tcPr>
                <w:p w14:paraId="78B89BA8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3337" w:type="dxa"/>
                </w:tcPr>
                <w:p w14:paraId="5D386B39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Septembrie</w:t>
                  </w:r>
                </w:p>
              </w:tc>
              <w:tc>
                <w:tcPr>
                  <w:tcW w:w="1658" w:type="dxa"/>
                </w:tcPr>
                <w:p w14:paraId="587658D3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4F3A7ECD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121F6ABF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5A4EE6EB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E0434E" w:rsidRPr="006B4A7E" w14:paraId="19028CC9" w14:textId="77777777">
              <w:trPr>
                <w:jc w:val="center"/>
              </w:trPr>
              <w:tc>
                <w:tcPr>
                  <w:tcW w:w="9731" w:type="dxa"/>
                  <w:gridSpan w:val="8"/>
                </w:tcPr>
                <w:p w14:paraId="630D870B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I</w:t>
                  </w:r>
                  <w:r w:rsidR="00251E9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2025</w:t>
                  </w:r>
                </w:p>
              </w:tc>
            </w:tr>
            <w:tr w:rsidR="00FC4728" w:rsidRPr="006B4A7E" w14:paraId="00952B0A" w14:textId="77777777">
              <w:trPr>
                <w:jc w:val="center"/>
              </w:trPr>
              <w:tc>
                <w:tcPr>
                  <w:tcW w:w="556" w:type="dxa"/>
                </w:tcPr>
                <w:p w14:paraId="11DFC20E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3337" w:type="dxa"/>
                </w:tcPr>
                <w:p w14:paraId="50244E0E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Octombrie</w:t>
                  </w:r>
                </w:p>
              </w:tc>
              <w:tc>
                <w:tcPr>
                  <w:tcW w:w="1658" w:type="dxa"/>
                </w:tcPr>
                <w:p w14:paraId="1BD3470E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  <w:vAlign w:val="center"/>
                </w:tcPr>
                <w:p w14:paraId="1359A101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08270B0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5729FB29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3B04DA93" w14:textId="77777777">
              <w:trPr>
                <w:jc w:val="center"/>
              </w:trPr>
              <w:tc>
                <w:tcPr>
                  <w:tcW w:w="556" w:type="dxa"/>
                </w:tcPr>
                <w:p w14:paraId="75A0DB9F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3337" w:type="dxa"/>
                </w:tcPr>
                <w:p w14:paraId="37165D6C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Noiembrie</w:t>
                  </w:r>
                  <w:proofErr w:type="spellEnd"/>
                </w:p>
              </w:tc>
              <w:tc>
                <w:tcPr>
                  <w:tcW w:w="1658" w:type="dxa"/>
                </w:tcPr>
                <w:p w14:paraId="700AC495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68248BDA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5D16109F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32888937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70A4D503" w14:textId="77777777">
              <w:trPr>
                <w:jc w:val="center"/>
              </w:trPr>
              <w:tc>
                <w:tcPr>
                  <w:tcW w:w="556" w:type="dxa"/>
                </w:tcPr>
                <w:p w14:paraId="4441F9D7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3337" w:type="dxa"/>
                </w:tcPr>
                <w:p w14:paraId="321A8F0A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Decembrie</w:t>
                  </w:r>
                </w:p>
              </w:tc>
              <w:tc>
                <w:tcPr>
                  <w:tcW w:w="1658" w:type="dxa"/>
                </w:tcPr>
                <w:p w14:paraId="3FEE359E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308BD713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FC6C439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0762B420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E0434E" w:rsidRPr="006B4A7E" w14:paraId="79A54AFD" w14:textId="77777777">
              <w:trPr>
                <w:jc w:val="center"/>
              </w:trPr>
              <w:tc>
                <w:tcPr>
                  <w:tcW w:w="9731" w:type="dxa"/>
                  <w:gridSpan w:val="8"/>
                </w:tcPr>
                <w:p w14:paraId="7E8CC66D" w14:textId="77777777" w:rsidR="00E0434E" w:rsidRDefault="000E7263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trimestru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 xml:space="preserve"> 202</w:t>
                  </w:r>
                  <w:r w:rsidR="00251E9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0"/>
                      <w:lang w:val="en-US" w:eastAsia="ru-RU"/>
                    </w:rPr>
                    <w:t>6</w:t>
                  </w:r>
                </w:p>
              </w:tc>
            </w:tr>
            <w:tr w:rsidR="00FC4728" w:rsidRPr="006B4A7E" w14:paraId="679025A9" w14:textId="77777777">
              <w:trPr>
                <w:jc w:val="center"/>
              </w:trPr>
              <w:tc>
                <w:tcPr>
                  <w:tcW w:w="556" w:type="dxa"/>
                </w:tcPr>
                <w:p w14:paraId="553AD4CE" w14:textId="77777777" w:rsidR="00FC4728" w:rsidRPr="006B4A7E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6B4A7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3337" w:type="dxa"/>
                </w:tcPr>
                <w:p w14:paraId="4D02B748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Ianuarie</w:t>
                  </w:r>
                </w:p>
              </w:tc>
              <w:tc>
                <w:tcPr>
                  <w:tcW w:w="1658" w:type="dxa"/>
                </w:tcPr>
                <w:p w14:paraId="7C3E13D4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  <w:vAlign w:val="center"/>
                </w:tcPr>
                <w:p w14:paraId="748BA193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2BC28475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60604050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08AFB97D" w14:textId="77777777">
              <w:trPr>
                <w:jc w:val="center"/>
              </w:trPr>
              <w:tc>
                <w:tcPr>
                  <w:tcW w:w="556" w:type="dxa"/>
                </w:tcPr>
                <w:p w14:paraId="2001B41D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337" w:type="dxa"/>
                </w:tcPr>
                <w:p w14:paraId="7C678FB4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Februarie</w:t>
                  </w:r>
                </w:p>
              </w:tc>
              <w:tc>
                <w:tcPr>
                  <w:tcW w:w="1658" w:type="dxa"/>
                </w:tcPr>
                <w:p w14:paraId="2C00DE0F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3853AE0E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D49294C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7AC23D1F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  <w:tr w:rsidR="00FC4728" w:rsidRPr="006B4A7E" w14:paraId="7D8273DA" w14:textId="77777777">
              <w:trPr>
                <w:jc w:val="center"/>
              </w:trPr>
              <w:tc>
                <w:tcPr>
                  <w:tcW w:w="556" w:type="dxa"/>
                </w:tcPr>
                <w:p w14:paraId="586BA130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3337" w:type="dxa"/>
                </w:tcPr>
                <w:p w14:paraId="341391CB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Martie</w:t>
                  </w:r>
                </w:p>
              </w:tc>
              <w:tc>
                <w:tcPr>
                  <w:tcW w:w="1658" w:type="dxa"/>
                </w:tcPr>
                <w:p w14:paraId="6DCCED0A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1000 m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69AE7FBB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666726BC" w14:textId="77777777" w:rsidR="00FC4728" w:rsidRDefault="00FC4728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  <w:tc>
                <w:tcPr>
                  <w:tcW w:w="1394" w:type="dxa"/>
                  <w:gridSpan w:val="2"/>
                </w:tcPr>
                <w:p w14:paraId="1E45F987" w14:textId="77777777" w:rsidR="00FC4728" w:rsidRDefault="00FC4728" w:rsidP="0083352F">
                  <w:pPr>
                    <w:framePr w:hSpace="180" w:wrap="around" w:vAnchor="text" w:hAnchor="text" w:xAlign="center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o-RO" w:eastAsia="ru-RU"/>
                    </w:rPr>
                    <w:t>-</w:t>
                  </w:r>
                </w:p>
              </w:tc>
            </w:tr>
          </w:tbl>
          <w:p w14:paraId="10A35ACC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it-IT" w:eastAsia="ru-RU"/>
              </w:rPr>
            </w:pPr>
          </w:p>
          <w:p w14:paraId="65DF0D76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0A2BCBC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5E2F71E7" w14:textId="77777777" w:rsidR="00E0434E" w:rsidRDefault="00E0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983"/>
              <w:gridCol w:w="4740"/>
            </w:tblGrid>
            <w:tr w:rsidR="00DD5B50" w:rsidRPr="006B4A7E" w14:paraId="4FF73B34" w14:textId="77777777" w:rsidTr="00ED6FAC">
              <w:trPr>
                <w:trHeight w:val="401"/>
              </w:trPr>
              <w:tc>
                <w:tcPr>
                  <w:tcW w:w="5245" w:type="dxa"/>
                </w:tcPr>
                <w:p w14:paraId="295A0203" w14:textId="77777777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b/>
                      <w:color w:val="000000" w:themeColor="text1"/>
                      <w:lang w:val="ro-RO"/>
                    </w:rPr>
                  </w:pPr>
                  <w:r w:rsidRPr="002635FA">
                    <w:rPr>
                      <w:b/>
                      <w:color w:val="000000" w:themeColor="text1"/>
                      <w:lang w:val="it-IT"/>
                    </w:rPr>
                    <w:t xml:space="preserve">            Furnizorul</w:t>
                  </w:r>
                </w:p>
              </w:tc>
              <w:tc>
                <w:tcPr>
                  <w:tcW w:w="4961" w:type="dxa"/>
                </w:tcPr>
                <w:p w14:paraId="7D0BFD09" w14:textId="77777777" w:rsidR="00DD5B50" w:rsidRPr="002635FA" w:rsidRDefault="00DD5B50" w:rsidP="0083352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it-IT" w:eastAsia="ru-RU"/>
                    </w:rPr>
                    <w:t>Consumatorul noncasnic</w:t>
                  </w:r>
                </w:p>
              </w:tc>
            </w:tr>
            <w:tr w:rsidR="00DD5B50" w:rsidRPr="0083352F" w14:paraId="244D8014" w14:textId="77777777" w:rsidTr="00ED6FAC">
              <w:trPr>
                <w:trHeight w:val="360"/>
              </w:trPr>
              <w:tc>
                <w:tcPr>
                  <w:tcW w:w="5245" w:type="dxa"/>
                </w:tcPr>
                <w:p w14:paraId="5AA71A52" w14:textId="1EF5CE0F" w:rsidR="00DD5B50" w:rsidRPr="00DD5B50" w:rsidRDefault="00DD5B50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Calibri"/>
                      <w:b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4961" w:type="dxa"/>
                </w:tcPr>
                <w:p w14:paraId="57A9B339" w14:textId="77777777" w:rsidR="00DD5B50" w:rsidRP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lang w:val="en-US"/>
                    </w:rPr>
                  </w:pPr>
                  <w:r w:rsidRPr="002635FA">
                    <w:rPr>
                      <w:b/>
                      <w:lang w:val="ro-MD"/>
                    </w:rPr>
                    <w:t>ÎM „Efes Vitanta Moldova Brewery” S.A.</w:t>
                  </w:r>
                </w:p>
              </w:tc>
            </w:tr>
            <w:tr w:rsidR="00DD5B50" w:rsidRPr="0083352F" w14:paraId="76A4B1B8" w14:textId="77777777" w:rsidTr="00ED6FAC">
              <w:trPr>
                <w:trHeight w:val="858"/>
              </w:trPr>
              <w:tc>
                <w:tcPr>
                  <w:tcW w:w="5245" w:type="dxa"/>
                </w:tcPr>
                <w:p w14:paraId="4C374818" w14:textId="77777777" w:rsid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b/>
                      <w:lang w:val="ro-MD"/>
                    </w:rPr>
                  </w:pPr>
                </w:p>
                <w:p w14:paraId="7FD5AFD5" w14:textId="56EEE5D9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color w:val="000000" w:themeColor="text1"/>
                      <w:lang w:val="ro-RO"/>
                    </w:rPr>
                  </w:pPr>
                  <w:r w:rsidRPr="002635FA">
                    <w:rPr>
                      <w:lang w:val="ro-MD"/>
                    </w:rPr>
                    <w:t>/</w:t>
                  </w:r>
                  <w:r w:rsidRPr="002635FA">
                    <w:rPr>
                      <w:color w:val="000000" w:themeColor="text1"/>
                      <w:lang w:val="it-IT"/>
                    </w:rPr>
                    <w:t xml:space="preserve">_____________/  </w:t>
                  </w:r>
                </w:p>
              </w:tc>
              <w:tc>
                <w:tcPr>
                  <w:tcW w:w="4961" w:type="dxa"/>
                </w:tcPr>
                <w:p w14:paraId="43C78CE5" w14:textId="77777777" w:rsid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b/>
                      <w:lang w:val="ro-MD"/>
                    </w:rPr>
                  </w:pPr>
                </w:p>
                <w:p w14:paraId="5974F340" w14:textId="77777777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E81401">
                    <w:rPr>
                      <w:b/>
                      <w:lang w:val="ro-MD"/>
                    </w:rPr>
                    <w:t>Alphan Akpece</w:t>
                  </w: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>____</w:t>
                  </w:r>
                  <w:r>
                    <w:rPr>
                      <w:color w:val="000000" w:themeColor="text1"/>
                      <w:lang w:val="it-IT"/>
                    </w:rPr>
                    <w:t>__</w:t>
                  </w:r>
                  <w:r w:rsidRPr="002635FA">
                    <w:rPr>
                      <w:color w:val="000000" w:themeColor="text1"/>
                      <w:lang w:val="it-IT"/>
                    </w:rPr>
                    <w:t>_________/</w:t>
                  </w:r>
                </w:p>
              </w:tc>
            </w:tr>
          </w:tbl>
          <w:p w14:paraId="6ED5821B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0FED38D4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1AA9C99A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EA7CF57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06CA37DE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16CDEB7C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4CFB17C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5ED8E026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411C069E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1D3604E8" w14:textId="77777777" w:rsidR="006B75F9" w:rsidRDefault="006B75F9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53722305" w14:textId="77777777" w:rsidR="006B75F9" w:rsidRDefault="006B75F9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6B36BC0E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2DD94B11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042186E6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1540D01E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727CC8F7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3836A32B" w14:textId="77777777" w:rsidR="00E0434E" w:rsidRDefault="00E0434E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6A3A7B53" w14:textId="77777777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lastRenderedPageBreak/>
              <w:t>Anexa nr. 3</w:t>
            </w:r>
          </w:p>
          <w:p w14:paraId="609A080D" w14:textId="25F48BDA" w:rsidR="003921BF" w:rsidRDefault="003921BF" w:rsidP="003921BF">
            <w:pPr>
              <w:pStyle w:val="NormalWeb"/>
              <w:jc w:val="righ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la Contractul nr</w:t>
            </w:r>
          </w:p>
          <w:p w14:paraId="1033BFF4" w14:textId="31A5F1C1" w:rsidR="00E0434E" w:rsidRDefault="003921BF" w:rsidP="003921BF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din </w:t>
            </w:r>
          </w:p>
          <w:p w14:paraId="2C57B654" w14:textId="77777777" w:rsidR="00E0434E" w:rsidRDefault="00E0434E">
            <w:pPr>
              <w:pStyle w:val="NormalWeb"/>
              <w:jc w:val="center"/>
              <w:rPr>
                <w:color w:val="000000" w:themeColor="text1"/>
                <w:lang w:val="it-IT"/>
              </w:rPr>
            </w:pPr>
          </w:p>
          <w:p w14:paraId="3BFA8151" w14:textId="77777777" w:rsidR="00E0434E" w:rsidRDefault="00E0434E">
            <w:pPr>
              <w:pStyle w:val="NormalWeb"/>
              <w:jc w:val="center"/>
              <w:rPr>
                <w:color w:val="000000" w:themeColor="text1"/>
                <w:lang w:val="it-IT"/>
              </w:rPr>
            </w:pPr>
          </w:p>
          <w:p w14:paraId="143FE13C" w14:textId="77777777" w:rsidR="009E2DEC" w:rsidRDefault="009E2DEC" w:rsidP="009E2DEC">
            <w:pPr>
              <w:pStyle w:val="NormalWeb"/>
              <w:jc w:val="center"/>
              <w:rPr>
                <w:b/>
                <w:color w:val="000000" w:themeColor="text1"/>
                <w:lang w:val="en-US"/>
              </w:rPr>
            </w:pPr>
          </w:p>
          <w:p w14:paraId="71B08858" w14:textId="77777777" w:rsidR="009E2DEC" w:rsidRDefault="009E2DEC" w:rsidP="009E2DEC">
            <w:pPr>
              <w:pStyle w:val="NormalWeb"/>
              <w:jc w:val="center"/>
              <w:rPr>
                <w:b/>
                <w:color w:val="000000" w:themeColor="text1"/>
                <w:lang w:val="en-US"/>
              </w:rPr>
            </w:pPr>
          </w:p>
          <w:p w14:paraId="1C6B9819" w14:textId="77777777" w:rsidR="009E2DEC" w:rsidRPr="002635FA" w:rsidRDefault="009E2DEC" w:rsidP="009E2DEC">
            <w:pPr>
              <w:pStyle w:val="NormalWeb"/>
              <w:jc w:val="center"/>
              <w:rPr>
                <w:b/>
                <w:color w:val="000000" w:themeColor="text1"/>
                <w:lang w:val="en-US"/>
              </w:rPr>
            </w:pPr>
            <w:r w:rsidRPr="002635FA">
              <w:rPr>
                <w:b/>
                <w:color w:val="000000" w:themeColor="text1"/>
                <w:lang w:val="en-US"/>
              </w:rPr>
              <w:t xml:space="preserve">Lista </w:t>
            </w:r>
            <w:proofErr w:type="spellStart"/>
            <w:r w:rsidRPr="002635FA">
              <w:rPr>
                <w:b/>
                <w:color w:val="000000" w:themeColor="text1"/>
                <w:lang w:val="en-US"/>
              </w:rPr>
              <w:t>aparatelor</w:t>
            </w:r>
            <w:proofErr w:type="spellEnd"/>
            <w:r w:rsidRPr="002635FA">
              <w:rPr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Pr="002635FA">
              <w:rPr>
                <w:b/>
                <w:color w:val="000000" w:themeColor="text1"/>
                <w:lang w:val="en-US"/>
              </w:rPr>
              <w:t>utilizare</w:t>
            </w:r>
            <w:proofErr w:type="spellEnd"/>
            <w:r w:rsidRPr="002635FA">
              <w:rPr>
                <w:b/>
                <w:color w:val="000000" w:themeColor="text1"/>
                <w:lang w:val="en-US"/>
              </w:rPr>
              <w:t xml:space="preserve"> a </w:t>
            </w:r>
            <w:proofErr w:type="spellStart"/>
            <w:r w:rsidRPr="002635FA">
              <w:rPr>
                <w:b/>
                <w:color w:val="000000" w:themeColor="text1"/>
                <w:lang w:val="en-US"/>
              </w:rPr>
              <w:t>gazelor</w:t>
            </w:r>
            <w:proofErr w:type="spellEnd"/>
            <w:r w:rsidRPr="002635F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635FA">
              <w:rPr>
                <w:b/>
                <w:color w:val="000000" w:themeColor="text1"/>
                <w:lang w:val="en-US"/>
              </w:rPr>
              <w:t>naturale</w:t>
            </w:r>
            <w:proofErr w:type="spellEnd"/>
          </w:p>
          <w:p w14:paraId="66B6C1EF" w14:textId="77777777" w:rsidR="009E2DEC" w:rsidRPr="002635FA" w:rsidRDefault="009E2DEC" w:rsidP="009E2DEC">
            <w:pPr>
              <w:pStyle w:val="NormalWeb"/>
              <w:jc w:val="right"/>
              <w:rPr>
                <w:color w:val="000000" w:themeColor="text1"/>
                <w:lang w:val="en-US"/>
              </w:rPr>
            </w:pPr>
          </w:p>
          <w:tbl>
            <w:tblPr>
              <w:tblW w:w="963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7"/>
              <w:gridCol w:w="2556"/>
              <w:gridCol w:w="740"/>
              <w:gridCol w:w="2651"/>
              <w:gridCol w:w="1384"/>
            </w:tblGrid>
            <w:tr w:rsidR="009E2DEC" w:rsidRPr="002635FA" w14:paraId="2FD31067" w14:textId="77777777" w:rsidTr="00270AE2">
              <w:trPr>
                <w:cantSplit/>
                <w:trHeight w:val="1309"/>
              </w:trPr>
              <w:tc>
                <w:tcPr>
                  <w:tcW w:w="230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C3AD946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Adresa locului de consum</w:t>
                  </w:r>
                </w:p>
              </w:tc>
              <w:tc>
                <w:tcPr>
                  <w:tcW w:w="2556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AE180A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bCs/>
                      <w:color w:val="000000" w:themeColor="text1"/>
                      <w:lang w:val="en-US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Denumirea aparatului de utilizare a gazelor naturale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textDirection w:val="btLr"/>
                  <w:vAlign w:val="center"/>
                </w:tcPr>
                <w:p w14:paraId="59DD07A8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left="113" w:right="113" w:firstLine="0"/>
                    <w:suppressOverlap/>
                    <w:jc w:val="center"/>
                    <w:rPr>
                      <w:bCs/>
                      <w:color w:val="000000" w:themeColor="text1"/>
                      <w:lang w:val="en-US"/>
                    </w:rPr>
                  </w:pPr>
                  <w:proofErr w:type="spellStart"/>
                  <w:r w:rsidRPr="002635FA">
                    <w:rPr>
                      <w:bCs/>
                      <w:color w:val="000000" w:themeColor="text1"/>
                      <w:lang w:val="en-US"/>
                    </w:rPr>
                    <w:t>Cantitatea</w:t>
                  </w:r>
                  <w:proofErr w:type="spellEnd"/>
                  <w:r w:rsidRPr="002635FA">
                    <w:rPr>
                      <w:bCs/>
                      <w:color w:val="000000" w:themeColor="text1"/>
                      <w:lang w:val="en-US"/>
                    </w:rPr>
                    <w:t xml:space="preserve"> (</w:t>
                  </w:r>
                  <w:proofErr w:type="spellStart"/>
                  <w:r w:rsidRPr="002635FA">
                    <w:rPr>
                      <w:bCs/>
                      <w:color w:val="000000" w:themeColor="text1"/>
                      <w:lang w:val="en-US"/>
                    </w:rPr>
                    <w:t>buc</w:t>
                  </w:r>
                  <w:proofErr w:type="spellEnd"/>
                  <w:r w:rsidRPr="002635FA">
                    <w:rPr>
                      <w:bCs/>
                      <w:color w:val="000000" w:themeColor="text1"/>
                      <w:lang w:val="en-US"/>
                    </w:rPr>
                    <w:t>.)</w:t>
                  </w:r>
                </w:p>
              </w:tc>
              <w:tc>
                <w:tcPr>
                  <w:tcW w:w="265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7B9193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bCs/>
                      <w:color w:val="000000" w:themeColor="text1"/>
                      <w:vertAlign w:val="superscript"/>
                      <w:lang w:val="ro-RO"/>
                    </w:rPr>
                  </w:pPr>
                  <w:proofErr w:type="spellStart"/>
                  <w:r w:rsidRPr="002635FA">
                    <w:rPr>
                      <w:bCs/>
                      <w:color w:val="000000" w:themeColor="text1"/>
                      <w:lang w:val="en-US"/>
                    </w:rPr>
                    <w:t>Capacitatea</w:t>
                  </w:r>
                  <w:proofErr w:type="spellEnd"/>
                  <w:r w:rsidRPr="002635FA">
                    <w:rPr>
                      <w:b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2635FA">
                    <w:rPr>
                      <w:bCs/>
                      <w:color w:val="000000" w:themeColor="text1"/>
                      <w:lang w:val="en-US"/>
                    </w:rPr>
                    <w:t>nominală</w:t>
                  </w:r>
                  <w:proofErr w:type="spellEnd"/>
                </w:p>
              </w:tc>
              <w:tc>
                <w:tcPr>
                  <w:tcW w:w="138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8C6A34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bCs/>
                      <w:color w:val="000000" w:themeColor="text1"/>
                      <w:lang w:val="ro-RO"/>
                    </w:rPr>
                  </w:pPr>
                  <w:r w:rsidRPr="002635FA">
                    <w:rPr>
                      <w:bCs/>
                      <w:color w:val="000000" w:themeColor="text1"/>
                      <w:lang w:val="ro-RO"/>
                    </w:rPr>
                    <w:t>Presiunea de facturare</w:t>
                  </w:r>
                </w:p>
              </w:tc>
            </w:tr>
            <w:tr w:rsidR="009E2DEC" w:rsidRPr="002635FA" w14:paraId="2075E643" w14:textId="77777777" w:rsidTr="00270AE2">
              <w:trPr>
                <w:trHeight w:val="433"/>
              </w:trPr>
              <w:tc>
                <w:tcPr>
                  <w:tcW w:w="2307" w:type="dxa"/>
                  <w:shd w:val="clear" w:color="auto" w:fill="auto"/>
                </w:tcPr>
                <w:p w14:paraId="4F290C25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>Or. Chișinău, strada Uzinelor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>,</w:t>
                  </w:r>
                  <w:r w:rsidRPr="002635FA"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 xml:space="preserve"> 167</w:t>
                  </w:r>
                </w:p>
              </w:tc>
              <w:tc>
                <w:tcPr>
                  <w:tcW w:w="2556" w:type="dxa"/>
                  <w:shd w:val="clear" w:color="auto" w:fill="auto"/>
                </w:tcPr>
                <w:p w14:paraId="74C3C147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>Producator de aburi CONDOR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14DAB8D5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1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25F1768F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  <w:t>8510 kW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B5E01C0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Presiune medie</w:t>
                  </w:r>
                </w:p>
              </w:tc>
            </w:tr>
            <w:tr w:rsidR="009E2DEC" w:rsidRPr="002635FA" w14:paraId="596B88BE" w14:textId="77777777" w:rsidTr="00270AE2">
              <w:tc>
                <w:tcPr>
                  <w:tcW w:w="2307" w:type="dxa"/>
                  <w:shd w:val="clear" w:color="auto" w:fill="auto"/>
                </w:tcPr>
                <w:p w14:paraId="660F6510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77A51703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Producator de aburi LOOS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1370C621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1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686D932A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6050 kW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EB38E6B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Presiune medie</w:t>
                  </w:r>
                </w:p>
              </w:tc>
            </w:tr>
            <w:tr w:rsidR="009E2DEC" w:rsidRPr="002635FA" w14:paraId="5F534347" w14:textId="77777777" w:rsidTr="00270AE2">
              <w:tc>
                <w:tcPr>
                  <w:tcW w:w="2307" w:type="dxa"/>
                  <w:shd w:val="clear" w:color="auto" w:fill="auto"/>
                  <w:vAlign w:val="center"/>
                </w:tcPr>
                <w:p w14:paraId="0D69D41E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2FFB3660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Contor de gaz cu turbina</w:t>
                  </w:r>
                </w:p>
                <w:p w14:paraId="5361D28C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en-US"/>
                    </w:rPr>
                  </w:pPr>
                  <w:r w:rsidRPr="002635FA">
                    <w:rPr>
                      <w:bCs/>
                      <w:color w:val="000000" w:themeColor="text1"/>
                    </w:rPr>
                    <w:t>СГ</w:t>
                  </w:r>
                  <w:r w:rsidRPr="002635FA">
                    <w:rPr>
                      <w:bCs/>
                      <w:color w:val="000000" w:themeColor="text1"/>
                      <w:lang w:val="it-IT"/>
                    </w:rPr>
                    <w:t>-16</w:t>
                  </w:r>
                  <w:r w:rsidRPr="002635FA">
                    <w:rPr>
                      <w:bCs/>
                      <w:color w:val="000000" w:themeColor="text1"/>
                    </w:rPr>
                    <w:t>М</w:t>
                  </w:r>
                  <w:r w:rsidRPr="002635FA">
                    <w:rPr>
                      <w:bCs/>
                      <w:color w:val="000000" w:themeColor="text1"/>
                      <w:lang w:val="it-IT"/>
                    </w:rPr>
                    <w:t>-800-40-</w:t>
                  </w:r>
                  <w:r w:rsidRPr="002635FA">
                    <w:rPr>
                      <w:bCs/>
                      <w:color w:val="000000" w:themeColor="text1"/>
                    </w:rPr>
                    <w:t>С</w:t>
                  </w:r>
                  <w:r w:rsidRPr="002635FA">
                    <w:rPr>
                      <w:bCs/>
                      <w:color w:val="000000" w:themeColor="text1"/>
                      <w:lang w:val="en-US"/>
                    </w:rPr>
                    <w:t>,</w:t>
                  </w:r>
                </w:p>
                <w:p w14:paraId="6AD71E3F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ro-MD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 xml:space="preserve">№3084623, </w:t>
                  </w:r>
                  <w:r w:rsidRPr="002635FA">
                    <w:rPr>
                      <w:bCs/>
                      <w:color w:val="000000" w:themeColor="text1"/>
                      <w:lang w:val="ro-MD"/>
                    </w:rPr>
                    <w:t>ARZAMAS RUSIA</w:t>
                  </w:r>
                </w:p>
                <w:p w14:paraId="59B04B79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ro-MD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 xml:space="preserve">  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5B4C5312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1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14:paraId="1A1BCBE2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769579F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</w:p>
              </w:tc>
            </w:tr>
            <w:tr w:rsidR="009E2DEC" w:rsidRPr="006B4A7E" w14:paraId="7332F464" w14:textId="77777777" w:rsidTr="00270AE2">
              <w:tc>
                <w:tcPr>
                  <w:tcW w:w="2307" w:type="dxa"/>
                  <w:shd w:val="clear" w:color="auto" w:fill="auto"/>
                  <w:vAlign w:val="center"/>
                </w:tcPr>
                <w:p w14:paraId="1848F6CD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4230E18D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 xml:space="preserve">Corector de volum de gaz </w:t>
                  </w:r>
                  <w:r w:rsidRPr="002635FA">
                    <w:rPr>
                      <w:bCs/>
                      <w:color w:val="000000" w:themeColor="text1"/>
                    </w:rPr>
                    <w:t>СПГ</w:t>
                  </w:r>
                  <w:r w:rsidRPr="002635FA">
                    <w:rPr>
                      <w:bCs/>
                      <w:color w:val="000000" w:themeColor="text1"/>
                      <w:lang w:val="en-US"/>
                    </w:rPr>
                    <w:t xml:space="preserve">-741, №1536, </w:t>
                  </w:r>
                  <w:r w:rsidRPr="002635FA">
                    <w:rPr>
                      <w:bCs/>
                      <w:color w:val="000000" w:themeColor="text1"/>
                      <w:lang w:val="ro-MD"/>
                    </w:rPr>
                    <w:t>LOGICA RUSIA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</w:tcPr>
                <w:p w14:paraId="6849B836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right="-108" w:firstLine="0"/>
                    <w:suppressOverlap/>
                    <w:jc w:val="center"/>
                    <w:rPr>
                      <w:bCs/>
                      <w:color w:val="000000" w:themeColor="text1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lang w:val="it-IT"/>
                    </w:rPr>
                    <w:t>1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14:paraId="6F2CCF39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516B538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</w:p>
              </w:tc>
            </w:tr>
          </w:tbl>
          <w:p w14:paraId="04D6925F" w14:textId="77777777" w:rsidR="00E0434E" w:rsidRDefault="00E0434E">
            <w:pPr>
              <w:jc w:val="center"/>
              <w:rPr>
                <w:color w:val="000000" w:themeColor="text1"/>
                <w:lang w:val="it-IT"/>
              </w:rPr>
            </w:pPr>
          </w:p>
          <w:p w14:paraId="36BA0BAC" w14:textId="77777777" w:rsidR="00E0434E" w:rsidRDefault="00E0434E">
            <w:pPr>
              <w:jc w:val="center"/>
              <w:rPr>
                <w:color w:val="000000" w:themeColor="text1"/>
                <w:lang w:val="it-IT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983"/>
              <w:gridCol w:w="4740"/>
            </w:tblGrid>
            <w:tr w:rsidR="009E2DEC" w:rsidRPr="006B4A7E" w14:paraId="24FDB565" w14:textId="77777777" w:rsidTr="00270AE2">
              <w:trPr>
                <w:trHeight w:val="401"/>
              </w:trPr>
              <w:tc>
                <w:tcPr>
                  <w:tcW w:w="5245" w:type="dxa"/>
                </w:tcPr>
                <w:p w14:paraId="1A5E9210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b/>
                      <w:color w:val="000000" w:themeColor="text1"/>
                      <w:lang w:val="ro-RO"/>
                    </w:rPr>
                  </w:pPr>
                  <w:r w:rsidRPr="002635FA">
                    <w:rPr>
                      <w:b/>
                      <w:color w:val="000000" w:themeColor="text1"/>
                      <w:lang w:val="it-IT"/>
                    </w:rPr>
                    <w:t xml:space="preserve">            Furnizorul</w:t>
                  </w:r>
                </w:p>
              </w:tc>
              <w:tc>
                <w:tcPr>
                  <w:tcW w:w="4961" w:type="dxa"/>
                </w:tcPr>
                <w:p w14:paraId="39163BB7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it-IT" w:eastAsia="ru-RU"/>
                    </w:rPr>
                    <w:t>Consumatorul noncasnic</w:t>
                  </w:r>
                </w:p>
              </w:tc>
            </w:tr>
            <w:tr w:rsidR="009E2DEC" w:rsidRPr="0083352F" w14:paraId="12AC2668" w14:textId="77777777" w:rsidTr="00270AE2">
              <w:trPr>
                <w:trHeight w:val="360"/>
              </w:trPr>
              <w:tc>
                <w:tcPr>
                  <w:tcW w:w="5245" w:type="dxa"/>
                </w:tcPr>
                <w:p w14:paraId="3424BC55" w14:textId="76C26F9E" w:rsidR="009E2DEC" w:rsidRPr="00DD5B50" w:rsidRDefault="009E2DEC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Calibri"/>
                      <w:b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4961" w:type="dxa"/>
                </w:tcPr>
                <w:p w14:paraId="0059DE27" w14:textId="20F2B55A" w:rsidR="009E2DEC" w:rsidRPr="00DD5B50" w:rsidRDefault="00647A7B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lang w:val="en-US"/>
                    </w:rPr>
                  </w:pPr>
                  <w:r w:rsidRPr="002635FA">
                    <w:rPr>
                      <w:b/>
                      <w:lang w:val="ro-MD"/>
                    </w:rPr>
                    <w:t>ÎM „Efes Vitanta Moldova Brewery” S.A.</w:t>
                  </w:r>
                </w:p>
              </w:tc>
            </w:tr>
            <w:tr w:rsidR="009E2DEC" w:rsidRPr="0083352F" w14:paraId="74C24CA0" w14:textId="77777777" w:rsidTr="00DD5B50">
              <w:trPr>
                <w:trHeight w:val="858"/>
              </w:trPr>
              <w:tc>
                <w:tcPr>
                  <w:tcW w:w="5245" w:type="dxa"/>
                </w:tcPr>
                <w:p w14:paraId="34F50B4C" w14:textId="77777777" w:rsid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b/>
                      <w:lang w:val="ro-MD"/>
                    </w:rPr>
                  </w:pPr>
                </w:p>
                <w:p w14:paraId="714A2C03" w14:textId="1C40E64E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color w:val="000000" w:themeColor="text1"/>
                      <w:lang w:val="ro-RO"/>
                    </w:rPr>
                  </w:pPr>
                  <w:r w:rsidRPr="002635FA">
                    <w:rPr>
                      <w:lang w:val="ro-MD"/>
                    </w:rPr>
                    <w:t>/</w:t>
                  </w:r>
                  <w:r w:rsidRPr="002635FA">
                    <w:rPr>
                      <w:color w:val="000000" w:themeColor="text1"/>
                      <w:lang w:val="it-IT"/>
                    </w:rPr>
                    <w:t xml:space="preserve">_____________/  </w:t>
                  </w:r>
                </w:p>
              </w:tc>
              <w:tc>
                <w:tcPr>
                  <w:tcW w:w="4961" w:type="dxa"/>
                </w:tcPr>
                <w:p w14:paraId="3DBE421D" w14:textId="77777777" w:rsid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b/>
                      <w:lang w:val="ro-MD"/>
                    </w:rPr>
                  </w:pPr>
                </w:p>
                <w:p w14:paraId="45875B31" w14:textId="37BF376E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E81401">
                    <w:rPr>
                      <w:b/>
                      <w:lang w:val="ro-MD"/>
                    </w:rPr>
                    <w:t>Alphan Akpece</w:t>
                  </w: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>____</w:t>
                  </w:r>
                  <w:r>
                    <w:rPr>
                      <w:color w:val="000000" w:themeColor="text1"/>
                      <w:lang w:val="it-IT"/>
                    </w:rPr>
                    <w:t>__</w:t>
                  </w:r>
                  <w:r w:rsidRPr="002635FA">
                    <w:rPr>
                      <w:color w:val="000000" w:themeColor="text1"/>
                      <w:lang w:val="it-IT"/>
                    </w:rPr>
                    <w:t>_________/</w:t>
                  </w:r>
                </w:p>
              </w:tc>
            </w:tr>
          </w:tbl>
          <w:p w14:paraId="5D02908E" w14:textId="77777777" w:rsidR="00E0434E" w:rsidRDefault="00E0434E">
            <w:pPr>
              <w:pStyle w:val="NormalWeb"/>
              <w:jc w:val="center"/>
              <w:rPr>
                <w:color w:val="000000" w:themeColor="text1"/>
                <w:lang w:val="it-IT"/>
              </w:rPr>
            </w:pPr>
          </w:p>
          <w:p w14:paraId="4670904C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675C7EFC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62807F68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6A4AE44" w14:textId="77777777" w:rsidR="0086265D" w:rsidRDefault="0086265D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26BE5FB7" w14:textId="77777777" w:rsidR="0086265D" w:rsidRDefault="0086265D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  <w:p w14:paraId="706AB071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47FFCB66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3B2AD4B5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752EF69F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25B82DEB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25C66976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47C8AC95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7891AC5D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078E5CA2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7B84553E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1EC713AD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564A99E8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06FF2CC1" w14:textId="77777777" w:rsidR="009E2DEC" w:rsidRDefault="009E2DEC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</w:p>
          <w:p w14:paraId="574FD1F8" w14:textId="77777777" w:rsidR="00E0434E" w:rsidRDefault="000E7263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lastRenderedPageBreak/>
              <w:t>Anexa nr. 4</w:t>
            </w:r>
          </w:p>
          <w:p w14:paraId="2C3701A5" w14:textId="77777777" w:rsidR="003921BF" w:rsidRDefault="003921BF" w:rsidP="003921BF">
            <w:pPr>
              <w:pStyle w:val="NormalWeb"/>
              <w:jc w:val="right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la Contractul nr. </w:t>
            </w:r>
            <w:r w:rsidRPr="003921BF">
              <w:rPr>
                <w:color w:val="000000" w:themeColor="text1"/>
                <w:lang w:val="en-US"/>
              </w:rPr>
              <w:t>36</w:t>
            </w:r>
            <w:r>
              <w:rPr>
                <w:color w:val="000000" w:themeColor="text1"/>
                <w:lang w:val="it-IT"/>
              </w:rPr>
              <w:t>/25-F</w:t>
            </w:r>
          </w:p>
          <w:p w14:paraId="5546D5A8" w14:textId="77777777" w:rsidR="00E0434E" w:rsidRDefault="003921BF" w:rsidP="003921BF">
            <w:pPr>
              <w:pStyle w:val="NormalWeb"/>
              <w:jc w:val="right"/>
              <w:rPr>
                <w:b/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din 17 aprilie 2025</w:t>
            </w:r>
          </w:p>
          <w:p w14:paraId="197F6926" w14:textId="77777777" w:rsidR="00E0434E" w:rsidRDefault="00E0434E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7F1857C" w14:textId="77777777" w:rsidR="00E0434E" w:rsidRDefault="000E7263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Lista 1</w:t>
            </w:r>
          </w:p>
          <w:p w14:paraId="179AC61C" w14:textId="77777777" w:rsidR="009E2DEC" w:rsidRPr="002635FA" w:rsidRDefault="000E7263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persoanelor </w:t>
            </w:r>
            <w:r w:rsidR="009E2DEC" w:rsidRPr="002635FA">
              <w:rPr>
                <w:b/>
                <w:color w:val="000000" w:themeColor="text1"/>
                <w:sz w:val="24"/>
                <w:szCs w:val="24"/>
              </w:rPr>
              <w:t xml:space="preserve"> Lista 1</w:t>
            </w:r>
          </w:p>
          <w:p w14:paraId="27AECE68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persoanelor responsabile de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negocieri</w:t>
            </w:r>
            <w:proofErr w:type="spellEnd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privind</w:t>
            </w:r>
            <w:proofErr w:type="spellEnd"/>
          </w:p>
          <w:p w14:paraId="78312207" w14:textId="3EC5654D" w:rsidR="009E2DEC" w:rsidRPr="002635FA" w:rsidRDefault="009E2DEC" w:rsidP="009E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furnizarea</w:t>
            </w:r>
            <w:r w:rsidRPr="002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gazelor</w:t>
            </w:r>
            <w:proofErr w:type="spellEnd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naturale</w:t>
            </w:r>
            <w:proofErr w:type="spellEnd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partea</w:t>
            </w:r>
            <w:proofErr w:type="spellEnd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Furnizorului</w:t>
            </w:r>
            <w:proofErr w:type="spellEnd"/>
            <w:r w:rsidRPr="002635F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  <w:p w14:paraId="0FF353DE" w14:textId="77777777" w:rsidR="009E2DEC" w:rsidRPr="002635FA" w:rsidRDefault="009E2DEC" w:rsidP="009E2DEC">
            <w:pPr>
              <w:pStyle w:val="Corptext"/>
              <w:spacing w:after="4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9531" w:type="dxa"/>
              <w:tblInd w:w="108" w:type="dxa"/>
              <w:tblLook w:val="0000" w:firstRow="0" w:lastRow="0" w:firstColumn="0" w:lastColumn="0" w:noHBand="0" w:noVBand="0"/>
            </w:tblPr>
            <w:tblGrid>
              <w:gridCol w:w="781"/>
              <w:gridCol w:w="2938"/>
              <w:gridCol w:w="3274"/>
              <w:gridCol w:w="2538"/>
            </w:tblGrid>
            <w:tr w:rsidR="009E2DEC" w:rsidRPr="0083352F" w14:paraId="77EF52C6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4E51FBA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Nr.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64FEDF43" w14:textId="77777777" w:rsidR="009E2DEC" w:rsidRPr="002635FA" w:rsidRDefault="009E2DEC" w:rsidP="0083352F">
                  <w:pPr>
                    <w:pStyle w:val="Titlu8"/>
                    <w:framePr w:hSpace="180" w:wrap="around" w:vAnchor="text" w:hAnchor="text" w:xAlign="center" w:y="1"/>
                    <w:tabs>
                      <w:tab w:val="num" w:pos="0"/>
                    </w:tabs>
                    <w:snapToGrid w:val="0"/>
                    <w:spacing w:befor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Numele, prenumele</w:t>
                  </w:r>
                </w:p>
              </w:tc>
              <w:tc>
                <w:tcPr>
                  <w:tcW w:w="3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20C7EC20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Funcţia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30BA58D9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Telefonul</w:t>
                  </w:r>
                </w:p>
              </w:tc>
            </w:tr>
            <w:tr w:rsidR="009E2DEC" w:rsidRPr="0083352F" w14:paraId="10508B96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475CE2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1.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C313C1" w14:textId="634C07F4" w:rsidR="009E2DEC" w:rsidRPr="002635FA" w:rsidRDefault="009E2DEC" w:rsidP="0083352F">
                  <w:pPr>
                    <w:pStyle w:val="Frspaiere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  <w:tc>
                <w:tcPr>
                  <w:tcW w:w="3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D9C227" w14:textId="71EB19DC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FA59B7" w14:textId="35CC1915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</w:tr>
            <w:tr w:rsidR="009E2DEC" w:rsidRPr="0083352F" w14:paraId="182B7F76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07C59E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2.</w:t>
                  </w:r>
                </w:p>
              </w:tc>
              <w:tc>
                <w:tcPr>
                  <w:tcW w:w="2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352D38" w14:textId="7B45B32A" w:rsidR="009E2DEC" w:rsidRPr="002635FA" w:rsidRDefault="009E2DEC" w:rsidP="0083352F">
                  <w:pPr>
                    <w:pStyle w:val="Antet"/>
                    <w:framePr w:hSpace="180" w:wrap="around" w:vAnchor="text" w:hAnchor="text" w:xAlign="center" w:y="1"/>
                    <w:suppressOverlap/>
                    <w:rPr>
                      <w:bCs/>
                      <w:color w:val="000000" w:themeColor="text1"/>
                      <w:szCs w:val="24"/>
                      <w:lang w:val="it-IT"/>
                    </w:rPr>
                  </w:pPr>
                </w:p>
              </w:tc>
              <w:tc>
                <w:tcPr>
                  <w:tcW w:w="3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1489B2" w14:textId="2426B049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34F07" w14:textId="76D9FF5E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</w:p>
              </w:tc>
            </w:tr>
          </w:tbl>
          <w:p w14:paraId="57C58305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F4036A6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D7D645B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>Lista 1</w:t>
            </w:r>
          </w:p>
          <w:p w14:paraId="7E7FE008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persoanelor responsabile de </w:t>
            </w:r>
            <w:r w:rsidRPr="002635FA">
              <w:rPr>
                <w:b/>
                <w:color w:val="000000" w:themeColor="text1"/>
                <w:sz w:val="24"/>
                <w:szCs w:val="24"/>
                <w:lang w:val="it-IT"/>
              </w:rPr>
              <w:t>negocieri privind furnizarea</w:t>
            </w:r>
            <w:r w:rsidRPr="002635F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35FA">
              <w:rPr>
                <w:b/>
                <w:color w:val="000000" w:themeColor="text1"/>
                <w:sz w:val="24"/>
                <w:szCs w:val="24"/>
              </w:rPr>
              <w:t>gazelor naturale</w:t>
            </w:r>
          </w:p>
          <w:p w14:paraId="0AC27F2E" w14:textId="77777777" w:rsidR="009E2DEC" w:rsidRPr="002635FA" w:rsidRDefault="009E2DEC" w:rsidP="009E2DEC">
            <w:pPr>
              <w:pStyle w:val="Corptext"/>
              <w:spacing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din partea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Consumatorului</w:t>
            </w:r>
            <w:proofErr w:type="spellEnd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noncasnic</w:t>
            </w:r>
            <w:proofErr w:type="spellEnd"/>
            <w:r w:rsidRPr="002635F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635FA">
              <w:rPr>
                <w:b/>
                <w:sz w:val="24"/>
                <w:szCs w:val="24"/>
                <w:lang w:val="ro-MD"/>
              </w:rPr>
              <w:t xml:space="preserve"> ÎM „Efes Vitanta Moldova Brewery” S.A.</w:t>
            </w:r>
          </w:p>
          <w:tbl>
            <w:tblPr>
              <w:tblW w:w="9548" w:type="dxa"/>
              <w:tblInd w:w="108" w:type="dxa"/>
              <w:tblLook w:val="0000" w:firstRow="0" w:lastRow="0" w:firstColumn="0" w:lastColumn="0" w:noHBand="0" w:noVBand="0"/>
            </w:tblPr>
            <w:tblGrid>
              <w:gridCol w:w="781"/>
              <w:gridCol w:w="3656"/>
              <w:gridCol w:w="2693"/>
              <w:gridCol w:w="2418"/>
            </w:tblGrid>
            <w:tr w:rsidR="009E2DEC" w:rsidRPr="0083352F" w14:paraId="1CEE082F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6295CD51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Nr.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27F292D0" w14:textId="77777777" w:rsidR="009E2DEC" w:rsidRPr="002635FA" w:rsidRDefault="009E2DEC" w:rsidP="0083352F">
                  <w:pPr>
                    <w:pStyle w:val="Titlu8"/>
                    <w:framePr w:hSpace="180" w:wrap="around" w:vAnchor="text" w:hAnchor="text" w:xAlign="center" w:y="1"/>
                    <w:tabs>
                      <w:tab w:val="num" w:pos="0"/>
                    </w:tabs>
                    <w:snapToGrid w:val="0"/>
                    <w:spacing w:befor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Numele, prenumele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1FF70F1B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Funcţia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640B349B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Telefonul</w:t>
                  </w:r>
                </w:p>
              </w:tc>
            </w:tr>
            <w:tr w:rsidR="009E2DEC" w:rsidRPr="0083352F" w14:paraId="73121536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BCBFCC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1.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16F550" w14:textId="77777777" w:rsidR="009E2DEC" w:rsidRPr="002635FA" w:rsidRDefault="009E2DEC" w:rsidP="0083352F">
                  <w:pPr>
                    <w:pStyle w:val="Frspaiere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E8140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Alphan Akpece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CDCFCF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Director General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AA188F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  <w:t>0(22) 885-201</w:t>
                  </w:r>
                </w:p>
                <w:p w14:paraId="2B7CF00E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9E2DEC" w:rsidRPr="0083352F" w14:paraId="0D725047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C4A770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2.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584009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uppressOverlap/>
                    <w:rPr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Ruslan Țărnă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9D9CFE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Director Tehnic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CA2B4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  <w:t>0(22) 885-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  <w:t>202</w:t>
                  </w:r>
                </w:p>
                <w:p w14:paraId="631A927A" w14:textId="77777777" w:rsidR="009E2DEC" w:rsidRPr="002635F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</w:pPr>
                  <w:r w:rsidRPr="002635FA">
                    <w:rPr>
                      <w:bCs/>
                      <w:color w:val="000000" w:themeColor="text1"/>
                      <w:sz w:val="22"/>
                      <w:szCs w:val="22"/>
                      <w:lang w:val="it-IT"/>
                    </w:rPr>
                    <w:t>079 149 458</w:t>
                  </w:r>
                </w:p>
              </w:tc>
            </w:tr>
          </w:tbl>
          <w:p w14:paraId="757E743A" w14:textId="77777777" w:rsidR="009E2DEC" w:rsidRPr="002635FA" w:rsidRDefault="009E2DEC" w:rsidP="009E2DEC">
            <w:pPr>
              <w:pStyle w:val="Corptext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  <w:p w14:paraId="0F3DDD5E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>Lista 2</w:t>
            </w:r>
          </w:p>
          <w:p w14:paraId="53622235" w14:textId="77777777" w:rsidR="009E2DEC" w:rsidRPr="002635FA" w:rsidRDefault="009E2DEC" w:rsidP="009E2DEC">
            <w:pPr>
              <w:pStyle w:val="Corptex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persoanelor responsabile de negocierile privind regimul de </w:t>
            </w:r>
            <w:r w:rsidRPr="002635FA">
              <w:rPr>
                <w:b/>
                <w:color w:val="000000" w:themeColor="text1"/>
                <w:sz w:val="24"/>
                <w:szCs w:val="24"/>
                <w:lang w:val="it-IT"/>
              </w:rPr>
              <w:t>furnizare a gazelor</w:t>
            </w:r>
            <w:r w:rsidRPr="002635F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35FA">
              <w:rPr>
                <w:b/>
                <w:color w:val="000000" w:themeColor="text1"/>
                <w:sz w:val="24"/>
                <w:szCs w:val="24"/>
              </w:rPr>
              <w:t>naturale</w:t>
            </w:r>
          </w:p>
          <w:p w14:paraId="76C73AE5" w14:textId="77777777" w:rsidR="009E2DEC" w:rsidRPr="002635FA" w:rsidRDefault="009E2DEC" w:rsidP="009E2DEC">
            <w:pPr>
              <w:pStyle w:val="Corptext"/>
              <w:spacing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2635FA">
              <w:rPr>
                <w:b/>
                <w:color w:val="000000" w:themeColor="text1"/>
                <w:sz w:val="24"/>
                <w:szCs w:val="24"/>
              </w:rPr>
              <w:t xml:space="preserve">din partea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Consumatorului</w:t>
            </w:r>
            <w:proofErr w:type="spellEnd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FA">
              <w:rPr>
                <w:b/>
                <w:color w:val="000000" w:themeColor="text1"/>
                <w:sz w:val="24"/>
                <w:szCs w:val="24"/>
                <w:lang w:val="en-US"/>
              </w:rPr>
              <w:t>noncasnic</w:t>
            </w:r>
            <w:proofErr w:type="spellEnd"/>
            <w:r w:rsidRPr="002635FA">
              <w:rPr>
                <w:rFonts w:eastAsia="Calibri"/>
                <w:b/>
                <w:sz w:val="24"/>
                <w:szCs w:val="24"/>
                <w:lang w:val="ro-MD"/>
              </w:rPr>
              <w:t xml:space="preserve"> </w:t>
            </w:r>
            <w:r w:rsidRPr="002635FA">
              <w:rPr>
                <w:b/>
                <w:sz w:val="24"/>
                <w:szCs w:val="24"/>
                <w:lang w:val="ro-MD"/>
              </w:rPr>
              <w:t xml:space="preserve"> ÎM „Efes Vitanta Moldova Brewery” S.A.</w:t>
            </w:r>
          </w:p>
          <w:tbl>
            <w:tblPr>
              <w:tblW w:w="9548" w:type="dxa"/>
              <w:tblInd w:w="108" w:type="dxa"/>
              <w:tblLook w:val="0000" w:firstRow="0" w:lastRow="0" w:firstColumn="0" w:lastColumn="0" w:noHBand="0" w:noVBand="0"/>
            </w:tblPr>
            <w:tblGrid>
              <w:gridCol w:w="781"/>
              <w:gridCol w:w="3656"/>
              <w:gridCol w:w="2693"/>
              <w:gridCol w:w="2418"/>
            </w:tblGrid>
            <w:tr w:rsidR="009E2DEC" w:rsidRPr="002635FA" w14:paraId="30D14A34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542B55C2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Nr.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1D85C2FA" w14:textId="77777777" w:rsidR="009E2DEC" w:rsidRPr="002635FA" w:rsidRDefault="009E2DEC" w:rsidP="0083352F">
                  <w:pPr>
                    <w:pStyle w:val="Titlu8"/>
                    <w:framePr w:hSpace="180" w:wrap="around" w:vAnchor="text" w:hAnchor="text" w:xAlign="center" w:y="1"/>
                    <w:tabs>
                      <w:tab w:val="num" w:pos="0"/>
                    </w:tabs>
                    <w:snapToGrid w:val="0"/>
                    <w:spacing w:before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Numele, prenumele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2F95BFF2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Funcţia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1EF17990" w14:textId="77777777" w:rsidR="009E2DEC" w:rsidRPr="002635F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Telefonul</w:t>
                  </w:r>
                </w:p>
              </w:tc>
            </w:tr>
            <w:tr w:rsidR="009E2DEC" w:rsidRPr="002635FA" w14:paraId="0E1A73A0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186BE7" w14:textId="77777777" w:rsidR="009E2DEC" w:rsidRPr="00A26D1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  <w:r w:rsidRPr="00A26D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F073E8" w14:textId="77777777" w:rsidR="009E2DEC" w:rsidRPr="00A26D1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Victor Dubalaru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9B4FD8" w14:textId="77777777" w:rsidR="009E2DEC" w:rsidRPr="00A26D1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Șef Serviciul Tehnic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52CCAA" w14:textId="77777777" w:rsidR="009E2DEC" w:rsidRPr="00A26D1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0(22) 885-244</w:t>
                  </w:r>
                </w:p>
                <w:p w14:paraId="72825C43" w14:textId="77777777" w:rsidR="009E2DEC" w:rsidRPr="00A26D1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A26D1A">
                    <w:rPr>
                      <w:bCs/>
                      <w:color w:val="000000" w:themeColor="text1"/>
                      <w:lang w:val="it-IT"/>
                    </w:rPr>
                    <w:t>079 730 004</w:t>
                  </w:r>
                </w:p>
              </w:tc>
            </w:tr>
            <w:tr w:rsidR="009E2DEC" w:rsidRPr="002635FA" w14:paraId="26C75143" w14:textId="77777777" w:rsidTr="00270AE2"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D26937" w14:textId="77777777" w:rsidR="009E2DEC" w:rsidRPr="00A26D1A" w:rsidRDefault="009E2DEC" w:rsidP="0083352F">
                  <w:pPr>
                    <w:framePr w:hSpace="180" w:wrap="around" w:vAnchor="text" w:hAnchor="text" w:xAlign="center" w:y="1"/>
                    <w:snapToGrid w:val="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2.</w:t>
                  </w: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1B1D46" w14:textId="77777777" w:rsidR="009E2DEC" w:rsidRPr="00A26D1A" w:rsidRDefault="009E2DEC" w:rsidP="0083352F">
                  <w:pPr>
                    <w:pStyle w:val="Frspaiere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/>
                    </w:rPr>
                    <w:t>rtiom Mecicaev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3EEC69" w14:textId="77777777" w:rsidR="009E2DEC" w:rsidRPr="00A26D1A" w:rsidRDefault="009E2DEC" w:rsidP="0083352F">
                  <w:pPr>
                    <w:pStyle w:val="Frspaiere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</w:pPr>
                  <w:r w:rsidRPr="00A26D1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it-IT" w:eastAsia="ru-RU"/>
                    </w:rPr>
                    <w:t>Inginer energetic</w:t>
                  </w:r>
                  <w:r w:rsidRPr="00A26D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it-IT" w:eastAsia="ru-RU"/>
                    </w:rPr>
                    <w:t xml:space="preserve"> Responsabil de exploatarea în siguranță a instalațiilor de gaze naturale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033C9" w14:textId="77777777" w:rsidR="009E2DEC" w:rsidRPr="00A26D1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A26D1A">
                    <w:rPr>
                      <w:bCs/>
                      <w:color w:val="000000" w:themeColor="text1"/>
                      <w:lang w:val="it-IT"/>
                    </w:rPr>
                    <w:t>0(22) 885-289</w:t>
                  </w:r>
                </w:p>
                <w:p w14:paraId="30CF9657" w14:textId="77777777" w:rsidR="009E2DEC" w:rsidRPr="00A26D1A" w:rsidRDefault="009E2DEC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jc w:val="left"/>
                    <w:rPr>
                      <w:bCs/>
                      <w:color w:val="000000" w:themeColor="text1"/>
                      <w:lang w:val="it-IT"/>
                    </w:rPr>
                  </w:pPr>
                  <w:r w:rsidRPr="00A26D1A">
                    <w:rPr>
                      <w:bCs/>
                      <w:color w:val="000000" w:themeColor="text1"/>
                      <w:lang w:val="it-IT"/>
                    </w:rPr>
                    <w:t>079 </w:t>
                  </w:r>
                  <w:r>
                    <w:rPr>
                      <w:bCs/>
                      <w:color w:val="000000" w:themeColor="text1"/>
                      <w:lang w:val="it-IT"/>
                    </w:rPr>
                    <w:t>385 045</w:t>
                  </w:r>
                </w:p>
              </w:tc>
            </w:tr>
          </w:tbl>
          <w:p w14:paraId="47854005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5DF5E0FF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CC58708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00DA0312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46B46FC1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983"/>
              <w:gridCol w:w="4740"/>
            </w:tblGrid>
            <w:tr w:rsidR="00DD5B50" w:rsidRPr="006B4A7E" w14:paraId="6386B354" w14:textId="77777777" w:rsidTr="00ED6FAC">
              <w:trPr>
                <w:trHeight w:val="401"/>
              </w:trPr>
              <w:tc>
                <w:tcPr>
                  <w:tcW w:w="5245" w:type="dxa"/>
                </w:tcPr>
                <w:p w14:paraId="345F458B" w14:textId="77777777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b/>
                      <w:color w:val="000000" w:themeColor="text1"/>
                      <w:lang w:val="ro-RO"/>
                    </w:rPr>
                  </w:pPr>
                  <w:r w:rsidRPr="002635FA">
                    <w:rPr>
                      <w:b/>
                      <w:color w:val="000000" w:themeColor="text1"/>
                      <w:lang w:val="it-IT"/>
                    </w:rPr>
                    <w:t xml:space="preserve">            Furnizorul</w:t>
                  </w:r>
                </w:p>
              </w:tc>
              <w:tc>
                <w:tcPr>
                  <w:tcW w:w="4961" w:type="dxa"/>
                </w:tcPr>
                <w:p w14:paraId="45FBAF73" w14:textId="77777777" w:rsidR="00DD5B50" w:rsidRPr="002635FA" w:rsidRDefault="00DD5B50" w:rsidP="0083352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color w:val="000000" w:themeColor="text1"/>
                      <w:lang w:val="it-IT"/>
                    </w:rPr>
                  </w:pPr>
                  <w:r w:rsidRPr="002635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it-IT" w:eastAsia="ru-RU"/>
                    </w:rPr>
                    <w:t>Consumatorul noncasnic</w:t>
                  </w:r>
                </w:p>
              </w:tc>
            </w:tr>
            <w:tr w:rsidR="00DD5B50" w:rsidRPr="0083352F" w14:paraId="3564C3AF" w14:textId="77777777" w:rsidTr="00ED6FAC">
              <w:trPr>
                <w:trHeight w:val="360"/>
              </w:trPr>
              <w:tc>
                <w:tcPr>
                  <w:tcW w:w="5245" w:type="dxa"/>
                </w:tcPr>
                <w:p w14:paraId="419A9494" w14:textId="270B480E" w:rsidR="00DD5B50" w:rsidRPr="00DD5B50" w:rsidRDefault="00DD5B50" w:rsidP="0083352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Calibri"/>
                      <w:b/>
                      <w:sz w:val="24"/>
                      <w:szCs w:val="24"/>
                      <w:lang w:val="ro-MD"/>
                    </w:rPr>
                  </w:pPr>
                  <w:r w:rsidRPr="002635FA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ro-MD"/>
                    </w:rPr>
                    <w:t xml:space="preserve"> „”</w:t>
                  </w:r>
                </w:p>
              </w:tc>
              <w:tc>
                <w:tcPr>
                  <w:tcW w:w="4961" w:type="dxa"/>
                </w:tcPr>
                <w:p w14:paraId="6242BD4B" w14:textId="77777777" w:rsidR="00DD5B50" w:rsidRP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ind w:firstLine="0"/>
                    <w:suppressOverlap/>
                    <w:rPr>
                      <w:lang w:val="en-US"/>
                    </w:rPr>
                  </w:pPr>
                  <w:r w:rsidRPr="002635FA">
                    <w:rPr>
                      <w:b/>
                      <w:lang w:val="ro-MD"/>
                    </w:rPr>
                    <w:t>ÎM „Efes Vitanta Moldova Brewery” S.A.</w:t>
                  </w:r>
                </w:p>
              </w:tc>
            </w:tr>
            <w:tr w:rsidR="00DD5B50" w:rsidRPr="00DD5B50" w14:paraId="6F18E6C5" w14:textId="77777777" w:rsidTr="00ED6FAC">
              <w:trPr>
                <w:trHeight w:val="858"/>
              </w:trPr>
              <w:tc>
                <w:tcPr>
                  <w:tcW w:w="5245" w:type="dxa"/>
                </w:tcPr>
                <w:p w14:paraId="75B3D774" w14:textId="77777777" w:rsid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b/>
                      <w:lang w:val="ro-MD"/>
                    </w:rPr>
                  </w:pPr>
                </w:p>
                <w:p w14:paraId="0F5D76E7" w14:textId="20051DDF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left"/>
                    <w:rPr>
                      <w:color w:val="000000" w:themeColor="text1"/>
                      <w:lang w:val="ro-RO"/>
                    </w:rPr>
                  </w:pP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 xml:space="preserve">_____________/  </w:t>
                  </w:r>
                </w:p>
              </w:tc>
              <w:tc>
                <w:tcPr>
                  <w:tcW w:w="4961" w:type="dxa"/>
                </w:tcPr>
                <w:p w14:paraId="0FA735D7" w14:textId="77777777" w:rsidR="00DD5B50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b/>
                      <w:lang w:val="ro-MD"/>
                    </w:rPr>
                  </w:pPr>
                </w:p>
                <w:p w14:paraId="1CC93C3E" w14:textId="77777777" w:rsidR="00DD5B50" w:rsidRPr="002635FA" w:rsidRDefault="00DD5B50" w:rsidP="0083352F">
                  <w:pPr>
                    <w:pStyle w:val="NormalWeb"/>
                    <w:framePr w:hSpace="180" w:wrap="around" w:vAnchor="text" w:hAnchor="text" w:xAlign="center" w:y="1"/>
                    <w:tabs>
                      <w:tab w:val="left" w:pos="6300"/>
                    </w:tabs>
                    <w:ind w:firstLine="0"/>
                    <w:suppressOverlap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E81401">
                    <w:rPr>
                      <w:b/>
                      <w:lang w:val="ro-MD"/>
                    </w:rPr>
                    <w:t>Alphan Akpece</w:t>
                  </w:r>
                  <w:r w:rsidRPr="002635FA">
                    <w:rPr>
                      <w:lang w:val="ro-MD"/>
                    </w:rPr>
                    <w:t xml:space="preserve"> /</w:t>
                  </w:r>
                  <w:r w:rsidRPr="002635FA">
                    <w:rPr>
                      <w:color w:val="000000" w:themeColor="text1"/>
                      <w:lang w:val="it-IT"/>
                    </w:rPr>
                    <w:t>____</w:t>
                  </w:r>
                  <w:r>
                    <w:rPr>
                      <w:color w:val="000000" w:themeColor="text1"/>
                      <w:lang w:val="it-IT"/>
                    </w:rPr>
                    <w:t>__</w:t>
                  </w:r>
                  <w:r w:rsidRPr="002635FA">
                    <w:rPr>
                      <w:color w:val="000000" w:themeColor="text1"/>
                      <w:lang w:val="it-IT"/>
                    </w:rPr>
                    <w:t>_________/</w:t>
                  </w:r>
                </w:p>
              </w:tc>
            </w:tr>
          </w:tbl>
          <w:p w14:paraId="3ABA2A75" w14:textId="77777777" w:rsidR="00E0434E" w:rsidRDefault="00E0434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E0434E" w14:paraId="3DA70DF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C18C76A" w14:textId="77777777" w:rsidR="00E0434E" w:rsidRDefault="00E0434E">
            <w:pPr>
              <w:pStyle w:val="NormalWeb"/>
              <w:jc w:val="center"/>
              <w:rPr>
                <w:b/>
                <w:color w:val="000000" w:themeColor="text1"/>
                <w:lang w:val="it-IT"/>
              </w:rPr>
            </w:pPr>
          </w:p>
        </w:tc>
      </w:tr>
    </w:tbl>
    <w:p w14:paraId="4CCEA79F" w14:textId="77777777" w:rsidR="00E0434E" w:rsidRDefault="00E0434E" w:rsidP="00DD5B50">
      <w:pPr>
        <w:tabs>
          <w:tab w:val="left" w:pos="603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E0434E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E1B0F" w14:textId="77777777" w:rsidR="006D0076" w:rsidRDefault="006D0076">
      <w:pPr>
        <w:spacing w:line="240" w:lineRule="auto"/>
      </w:pPr>
      <w:r>
        <w:separator/>
      </w:r>
    </w:p>
  </w:endnote>
  <w:endnote w:type="continuationSeparator" w:id="0">
    <w:p w14:paraId="420B0C49" w14:textId="77777777" w:rsidR="006D0076" w:rsidRDefault="006D0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A45A" w14:textId="77777777" w:rsidR="006D0076" w:rsidRDefault="006D0076">
      <w:pPr>
        <w:spacing w:after="0"/>
      </w:pPr>
      <w:r>
        <w:separator/>
      </w:r>
    </w:p>
  </w:footnote>
  <w:footnote w:type="continuationSeparator" w:id="0">
    <w:p w14:paraId="33896B0B" w14:textId="77777777" w:rsidR="006D0076" w:rsidRDefault="006D00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601C"/>
    <w:multiLevelType w:val="multilevel"/>
    <w:tmpl w:val="0649601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E623D3"/>
    <w:multiLevelType w:val="hybridMultilevel"/>
    <w:tmpl w:val="02E8CB4A"/>
    <w:lvl w:ilvl="0" w:tplc="08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D2745"/>
    <w:multiLevelType w:val="hybridMultilevel"/>
    <w:tmpl w:val="02E8CB4A"/>
    <w:lvl w:ilvl="0" w:tplc="08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C09E1"/>
    <w:multiLevelType w:val="hybridMultilevel"/>
    <w:tmpl w:val="0EE82CD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78841">
    <w:abstractNumId w:val="0"/>
  </w:num>
  <w:num w:numId="2" w16cid:durableId="230310432">
    <w:abstractNumId w:val="2"/>
  </w:num>
  <w:num w:numId="3" w16cid:durableId="1281571830">
    <w:abstractNumId w:val="1"/>
  </w:num>
  <w:num w:numId="4" w16cid:durableId="1072197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6"/>
    <w:rsid w:val="00000D5A"/>
    <w:rsid w:val="00002E9B"/>
    <w:rsid w:val="000030DB"/>
    <w:rsid w:val="00004AB2"/>
    <w:rsid w:val="0001630B"/>
    <w:rsid w:val="000205D5"/>
    <w:rsid w:val="00021F49"/>
    <w:rsid w:val="0002231C"/>
    <w:rsid w:val="00027CB3"/>
    <w:rsid w:val="00030240"/>
    <w:rsid w:val="000320E2"/>
    <w:rsid w:val="000334AC"/>
    <w:rsid w:val="00033BE5"/>
    <w:rsid w:val="00035A5F"/>
    <w:rsid w:val="000463CA"/>
    <w:rsid w:val="0004688A"/>
    <w:rsid w:val="00050FFA"/>
    <w:rsid w:val="00051D8A"/>
    <w:rsid w:val="00051E0B"/>
    <w:rsid w:val="0005671E"/>
    <w:rsid w:val="000617AA"/>
    <w:rsid w:val="00063D6F"/>
    <w:rsid w:val="000657C2"/>
    <w:rsid w:val="00074867"/>
    <w:rsid w:val="00080133"/>
    <w:rsid w:val="00086205"/>
    <w:rsid w:val="000863BF"/>
    <w:rsid w:val="000900CB"/>
    <w:rsid w:val="00092E00"/>
    <w:rsid w:val="00092E08"/>
    <w:rsid w:val="0009650D"/>
    <w:rsid w:val="00097F81"/>
    <w:rsid w:val="000A18E0"/>
    <w:rsid w:val="000A6A1A"/>
    <w:rsid w:val="000A7200"/>
    <w:rsid w:val="000B32F3"/>
    <w:rsid w:val="000B4AF0"/>
    <w:rsid w:val="000B55B0"/>
    <w:rsid w:val="000C283B"/>
    <w:rsid w:val="000D0F95"/>
    <w:rsid w:val="000D2429"/>
    <w:rsid w:val="000D3601"/>
    <w:rsid w:val="000D6E4F"/>
    <w:rsid w:val="000D6EF9"/>
    <w:rsid w:val="000D72CB"/>
    <w:rsid w:val="000E003B"/>
    <w:rsid w:val="000E2C10"/>
    <w:rsid w:val="000E3D3A"/>
    <w:rsid w:val="000E6052"/>
    <w:rsid w:val="000E7263"/>
    <w:rsid w:val="000F2DE6"/>
    <w:rsid w:val="000F51B8"/>
    <w:rsid w:val="000F6021"/>
    <w:rsid w:val="00102793"/>
    <w:rsid w:val="00102FC4"/>
    <w:rsid w:val="001119B3"/>
    <w:rsid w:val="00113DD5"/>
    <w:rsid w:val="00114993"/>
    <w:rsid w:val="00115E2A"/>
    <w:rsid w:val="001316E6"/>
    <w:rsid w:val="0013321F"/>
    <w:rsid w:val="001332AC"/>
    <w:rsid w:val="00136BF5"/>
    <w:rsid w:val="00137861"/>
    <w:rsid w:val="00141E09"/>
    <w:rsid w:val="00143DDD"/>
    <w:rsid w:val="001449ED"/>
    <w:rsid w:val="00146AE6"/>
    <w:rsid w:val="001567C8"/>
    <w:rsid w:val="00157892"/>
    <w:rsid w:val="00157D07"/>
    <w:rsid w:val="00161F41"/>
    <w:rsid w:val="00162ADF"/>
    <w:rsid w:val="0016358B"/>
    <w:rsid w:val="00165B5D"/>
    <w:rsid w:val="00166B58"/>
    <w:rsid w:val="00170321"/>
    <w:rsid w:val="00170627"/>
    <w:rsid w:val="0017225B"/>
    <w:rsid w:val="00195B3B"/>
    <w:rsid w:val="001971A1"/>
    <w:rsid w:val="001A410D"/>
    <w:rsid w:val="001A6272"/>
    <w:rsid w:val="001B28B3"/>
    <w:rsid w:val="001B4497"/>
    <w:rsid w:val="001B64B4"/>
    <w:rsid w:val="001B74D6"/>
    <w:rsid w:val="001B74FE"/>
    <w:rsid w:val="001C46B4"/>
    <w:rsid w:val="001C531B"/>
    <w:rsid w:val="001C793F"/>
    <w:rsid w:val="001D08AA"/>
    <w:rsid w:val="001D1D14"/>
    <w:rsid w:val="001D4D61"/>
    <w:rsid w:val="001D7E85"/>
    <w:rsid w:val="001D7F48"/>
    <w:rsid w:val="001E4645"/>
    <w:rsid w:val="001E530A"/>
    <w:rsid w:val="001F2FCA"/>
    <w:rsid w:val="00200DA6"/>
    <w:rsid w:val="00202434"/>
    <w:rsid w:val="0020530E"/>
    <w:rsid w:val="00210F6E"/>
    <w:rsid w:val="0021207B"/>
    <w:rsid w:val="00212A2F"/>
    <w:rsid w:val="0021308B"/>
    <w:rsid w:val="0022198A"/>
    <w:rsid w:val="00226C7C"/>
    <w:rsid w:val="00230703"/>
    <w:rsid w:val="00232AFA"/>
    <w:rsid w:val="002409A8"/>
    <w:rsid w:val="002423CD"/>
    <w:rsid w:val="00244973"/>
    <w:rsid w:val="00247403"/>
    <w:rsid w:val="002503C9"/>
    <w:rsid w:val="00251E9B"/>
    <w:rsid w:val="00253B2E"/>
    <w:rsid w:val="00263318"/>
    <w:rsid w:val="002638FA"/>
    <w:rsid w:val="00266453"/>
    <w:rsid w:val="00270AE2"/>
    <w:rsid w:val="00274547"/>
    <w:rsid w:val="0028222E"/>
    <w:rsid w:val="0028651D"/>
    <w:rsid w:val="00293579"/>
    <w:rsid w:val="002949E6"/>
    <w:rsid w:val="00297AC0"/>
    <w:rsid w:val="002A60D8"/>
    <w:rsid w:val="002B130A"/>
    <w:rsid w:val="002B1893"/>
    <w:rsid w:val="002B3C4E"/>
    <w:rsid w:val="002C4363"/>
    <w:rsid w:val="002C47E5"/>
    <w:rsid w:val="002C4BA8"/>
    <w:rsid w:val="002C704D"/>
    <w:rsid w:val="002C7ED9"/>
    <w:rsid w:val="002D084E"/>
    <w:rsid w:val="002D3A71"/>
    <w:rsid w:val="002F35A1"/>
    <w:rsid w:val="002F7E6A"/>
    <w:rsid w:val="0030106F"/>
    <w:rsid w:val="003064DB"/>
    <w:rsid w:val="003078F4"/>
    <w:rsid w:val="0030799D"/>
    <w:rsid w:val="0031283B"/>
    <w:rsid w:val="003140A0"/>
    <w:rsid w:val="00314D20"/>
    <w:rsid w:val="00323EE5"/>
    <w:rsid w:val="003335BD"/>
    <w:rsid w:val="00340BA9"/>
    <w:rsid w:val="00340F77"/>
    <w:rsid w:val="0034121E"/>
    <w:rsid w:val="003548AE"/>
    <w:rsid w:val="003564FC"/>
    <w:rsid w:val="00366AA6"/>
    <w:rsid w:val="00366F4E"/>
    <w:rsid w:val="00367409"/>
    <w:rsid w:val="0037509B"/>
    <w:rsid w:val="00375117"/>
    <w:rsid w:val="00375406"/>
    <w:rsid w:val="00377BD1"/>
    <w:rsid w:val="00380312"/>
    <w:rsid w:val="00382D8F"/>
    <w:rsid w:val="003868AD"/>
    <w:rsid w:val="003918F6"/>
    <w:rsid w:val="00391F3C"/>
    <w:rsid w:val="003921BF"/>
    <w:rsid w:val="00393034"/>
    <w:rsid w:val="00397CA3"/>
    <w:rsid w:val="003A0E4F"/>
    <w:rsid w:val="003A1FF1"/>
    <w:rsid w:val="003A2676"/>
    <w:rsid w:val="003B168B"/>
    <w:rsid w:val="003B2792"/>
    <w:rsid w:val="003B2BC1"/>
    <w:rsid w:val="003B4541"/>
    <w:rsid w:val="003B67C8"/>
    <w:rsid w:val="003B6C5A"/>
    <w:rsid w:val="003C01B4"/>
    <w:rsid w:val="003C1472"/>
    <w:rsid w:val="003C3CBA"/>
    <w:rsid w:val="003C766C"/>
    <w:rsid w:val="003D1847"/>
    <w:rsid w:val="003D1FB1"/>
    <w:rsid w:val="003D6786"/>
    <w:rsid w:val="003E275E"/>
    <w:rsid w:val="003E2D70"/>
    <w:rsid w:val="003E3085"/>
    <w:rsid w:val="003E31EA"/>
    <w:rsid w:val="003F56AF"/>
    <w:rsid w:val="00402602"/>
    <w:rsid w:val="0040284C"/>
    <w:rsid w:val="00403BE2"/>
    <w:rsid w:val="00403DBE"/>
    <w:rsid w:val="00403E0E"/>
    <w:rsid w:val="00406DC6"/>
    <w:rsid w:val="004105E3"/>
    <w:rsid w:val="004111C5"/>
    <w:rsid w:val="00413FF6"/>
    <w:rsid w:val="004202F9"/>
    <w:rsid w:val="00420522"/>
    <w:rsid w:val="00420656"/>
    <w:rsid w:val="00422BC8"/>
    <w:rsid w:val="00424F44"/>
    <w:rsid w:val="00425128"/>
    <w:rsid w:val="004312F7"/>
    <w:rsid w:val="00440AEF"/>
    <w:rsid w:val="00443F06"/>
    <w:rsid w:val="00444391"/>
    <w:rsid w:val="004443B9"/>
    <w:rsid w:val="004501CE"/>
    <w:rsid w:val="004525AF"/>
    <w:rsid w:val="00454BFD"/>
    <w:rsid w:val="00455CBE"/>
    <w:rsid w:val="0045728F"/>
    <w:rsid w:val="0046664F"/>
    <w:rsid w:val="0047065E"/>
    <w:rsid w:val="00481AF5"/>
    <w:rsid w:val="00482029"/>
    <w:rsid w:val="00482E45"/>
    <w:rsid w:val="00486F3E"/>
    <w:rsid w:val="00490AA0"/>
    <w:rsid w:val="00490F71"/>
    <w:rsid w:val="00494D03"/>
    <w:rsid w:val="00495DD9"/>
    <w:rsid w:val="004A6E1F"/>
    <w:rsid w:val="004B0502"/>
    <w:rsid w:val="004B0742"/>
    <w:rsid w:val="004B0B23"/>
    <w:rsid w:val="004B363B"/>
    <w:rsid w:val="004B3DF5"/>
    <w:rsid w:val="004B4096"/>
    <w:rsid w:val="004C1C70"/>
    <w:rsid w:val="004C7617"/>
    <w:rsid w:val="004D0B9B"/>
    <w:rsid w:val="004D1F6F"/>
    <w:rsid w:val="004D3005"/>
    <w:rsid w:val="004D44BF"/>
    <w:rsid w:val="004D57E7"/>
    <w:rsid w:val="004D64CE"/>
    <w:rsid w:val="004E37A5"/>
    <w:rsid w:val="004F54DE"/>
    <w:rsid w:val="004F7444"/>
    <w:rsid w:val="00503313"/>
    <w:rsid w:val="00507B53"/>
    <w:rsid w:val="00511ED2"/>
    <w:rsid w:val="00513D14"/>
    <w:rsid w:val="005169F5"/>
    <w:rsid w:val="00517FFE"/>
    <w:rsid w:val="005237A6"/>
    <w:rsid w:val="00524444"/>
    <w:rsid w:val="00527CBF"/>
    <w:rsid w:val="005309BD"/>
    <w:rsid w:val="00532C49"/>
    <w:rsid w:val="00533576"/>
    <w:rsid w:val="00537A72"/>
    <w:rsid w:val="00540638"/>
    <w:rsid w:val="00545198"/>
    <w:rsid w:val="0054535A"/>
    <w:rsid w:val="005472E3"/>
    <w:rsid w:val="00554EB3"/>
    <w:rsid w:val="005556B9"/>
    <w:rsid w:val="005564F7"/>
    <w:rsid w:val="0055709F"/>
    <w:rsid w:val="0055791B"/>
    <w:rsid w:val="00563056"/>
    <w:rsid w:val="00566F7A"/>
    <w:rsid w:val="00573961"/>
    <w:rsid w:val="00573CF8"/>
    <w:rsid w:val="00575F77"/>
    <w:rsid w:val="005873BB"/>
    <w:rsid w:val="005954A5"/>
    <w:rsid w:val="0059763D"/>
    <w:rsid w:val="005A0AD8"/>
    <w:rsid w:val="005A0ADC"/>
    <w:rsid w:val="005A1EE4"/>
    <w:rsid w:val="005A2393"/>
    <w:rsid w:val="005A447B"/>
    <w:rsid w:val="005A5A80"/>
    <w:rsid w:val="005B08E5"/>
    <w:rsid w:val="005B1597"/>
    <w:rsid w:val="005B6CD5"/>
    <w:rsid w:val="005D0092"/>
    <w:rsid w:val="005D1030"/>
    <w:rsid w:val="005E2079"/>
    <w:rsid w:val="005E641D"/>
    <w:rsid w:val="005F0875"/>
    <w:rsid w:val="005F136A"/>
    <w:rsid w:val="005F28C6"/>
    <w:rsid w:val="005F45B1"/>
    <w:rsid w:val="005F5167"/>
    <w:rsid w:val="0060125A"/>
    <w:rsid w:val="006036E9"/>
    <w:rsid w:val="00605FE1"/>
    <w:rsid w:val="00613260"/>
    <w:rsid w:val="00615428"/>
    <w:rsid w:val="00622FF9"/>
    <w:rsid w:val="006232AA"/>
    <w:rsid w:val="00623D9D"/>
    <w:rsid w:val="00631943"/>
    <w:rsid w:val="006331F7"/>
    <w:rsid w:val="00633F23"/>
    <w:rsid w:val="006370F5"/>
    <w:rsid w:val="006466EF"/>
    <w:rsid w:val="00647A7B"/>
    <w:rsid w:val="006512CB"/>
    <w:rsid w:val="00653EF7"/>
    <w:rsid w:val="006541DD"/>
    <w:rsid w:val="00657F68"/>
    <w:rsid w:val="00661EB0"/>
    <w:rsid w:val="00664328"/>
    <w:rsid w:val="00665CCF"/>
    <w:rsid w:val="00667B06"/>
    <w:rsid w:val="00671B01"/>
    <w:rsid w:val="006734BD"/>
    <w:rsid w:val="00683151"/>
    <w:rsid w:val="006831FE"/>
    <w:rsid w:val="0068590F"/>
    <w:rsid w:val="00687A22"/>
    <w:rsid w:val="00691F8C"/>
    <w:rsid w:val="00693556"/>
    <w:rsid w:val="006965F8"/>
    <w:rsid w:val="006A0BCB"/>
    <w:rsid w:val="006A1A4C"/>
    <w:rsid w:val="006A7D0D"/>
    <w:rsid w:val="006B03AF"/>
    <w:rsid w:val="006B4A7E"/>
    <w:rsid w:val="006B5939"/>
    <w:rsid w:val="006B75F9"/>
    <w:rsid w:val="006B7DE6"/>
    <w:rsid w:val="006C4866"/>
    <w:rsid w:val="006D0076"/>
    <w:rsid w:val="006D36FC"/>
    <w:rsid w:val="006D4807"/>
    <w:rsid w:val="006D77E6"/>
    <w:rsid w:val="006E0C62"/>
    <w:rsid w:val="006E1701"/>
    <w:rsid w:val="006E1F46"/>
    <w:rsid w:val="006E4F17"/>
    <w:rsid w:val="006E64D0"/>
    <w:rsid w:val="006F46D1"/>
    <w:rsid w:val="006F60D0"/>
    <w:rsid w:val="00702398"/>
    <w:rsid w:val="00703044"/>
    <w:rsid w:val="00713560"/>
    <w:rsid w:val="007143A7"/>
    <w:rsid w:val="00716CBB"/>
    <w:rsid w:val="007247FE"/>
    <w:rsid w:val="00731607"/>
    <w:rsid w:val="00732315"/>
    <w:rsid w:val="00732BBE"/>
    <w:rsid w:val="00732E30"/>
    <w:rsid w:val="0073369D"/>
    <w:rsid w:val="007352E1"/>
    <w:rsid w:val="00742421"/>
    <w:rsid w:val="00744865"/>
    <w:rsid w:val="00745D90"/>
    <w:rsid w:val="0074660F"/>
    <w:rsid w:val="0074732D"/>
    <w:rsid w:val="00752074"/>
    <w:rsid w:val="00753C7A"/>
    <w:rsid w:val="00753E31"/>
    <w:rsid w:val="00753EF7"/>
    <w:rsid w:val="00760409"/>
    <w:rsid w:val="00761D64"/>
    <w:rsid w:val="00763529"/>
    <w:rsid w:val="00763DD8"/>
    <w:rsid w:val="00771A86"/>
    <w:rsid w:val="007727A9"/>
    <w:rsid w:val="00772BB7"/>
    <w:rsid w:val="007816E8"/>
    <w:rsid w:val="007842AB"/>
    <w:rsid w:val="00787AA5"/>
    <w:rsid w:val="00790DCE"/>
    <w:rsid w:val="007A0EE9"/>
    <w:rsid w:val="007A525E"/>
    <w:rsid w:val="007B1450"/>
    <w:rsid w:val="007B3BAE"/>
    <w:rsid w:val="007B4AE9"/>
    <w:rsid w:val="007C0D4C"/>
    <w:rsid w:val="007C0D56"/>
    <w:rsid w:val="007C2242"/>
    <w:rsid w:val="007C3C38"/>
    <w:rsid w:val="007D078A"/>
    <w:rsid w:val="007D4A42"/>
    <w:rsid w:val="007D544A"/>
    <w:rsid w:val="007D702F"/>
    <w:rsid w:val="007D7148"/>
    <w:rsid w:val="007D74E7"/>
    <w:rsid w:val="007D768D"/>
    <w:rsid w:val="007E09FC"/>
    <w:rsid w:val="007E0C13"/>
    <w:rsid w:val="007F4B11"/>
    <w:rsid w:val="00800B21"/>
    <w:rsid w:val="008041C8"/>
    <w:rsid w:val="008048E8"/>
    <w:rsid w:val="0080619D"/>
    <w:rsid w:val="00806CDD"/>
    <w:rsid w:val="00811E71"/>
    <w:rsid w:val="00813972"/>
    <w:rsid w:val="00814CB4"/>
    <w:rsid w:val="00815889"/>
    <w:rsid w:val="00820790"/>
    <w:rsid w:val="00822DD9"/>
    <w:rsid w:val="008230AC"/>
    <w:rsid w:val="008239C6"/>
    <w:rsid w:val="008256FD"/>
    <w:rsid w:val="0083352F"/>
    <w:rsid w:val="00835123"/>
    <w:rsid w:val="0084460E"/>
    <w:rsid w:val="0084514E"/>
    <w:rsid w:val="00845A39"/>
    <w:rsid w:val="00850B9F"/>
    <w:rsid w:val="00850E50"/>
    <w:rsid w:val="00851254"/>
    <w:rsid w:val="00853131"/>
    <w:rsid w:val="0085523F"/>
    <w:rsid w:val="00862411"/>
    <w:rsid w:val="0086265D"/>
    <w:rsid w:val="00864CDF"/>
    <w:rsid w:val="00870551"/>
    <w:rsid w:val="00871037"/>
    <w:rsid w:val="00872E65"/>
    <w:rsid w:val="0087525A"/>
    <w:rsid w:val="00881A67"/>
    <w:rsid w:val="00881DBC"/>
    <w:rsid w:val="00883FDC"/>
    <w:rsid w:val="0088546A"/>
    <w:rsid w:val="00885F11"/>
    <w:rsid w:val="008912FF"/>
    <w:rsid w:val="008918D7"/>
    <w:rsid w:val="00892EC4"/>
    <w:rsid w:val="00893F45"/>
    <w:rsid w:val="008A06EB"/>
    <w:rsid w:val="008B1F1D"/>
    <w:rsid w:val="008B28EE"/>
    <w:rsid w:val="008B5922"/>
    <w:rsid w:val="008C34ED"/>
    <w:rsid w:val="008C6D2B"/>
    <w:rsid w:val="008D4C3B"/>
    <w:rsid w:val="008E61A6"/>
    <w:rsid w:val="008F052A"/>
    <w:rsid w:val="008F096A"/>
    <w:rsid w:val="008F3503"/>
    <w:rsid w:val="008F74BD"/>
    <w:rsid w:val="009007BB"/>
    <w:rsid w:val="0090354D"/>
    <w:rsid w:val="0090517E"/>
    <w:rsid w:val="00911F4C"/>
    <w:rsid w:val="009156C2"/>
    <w:rsid w:val="00917622"/>
    <w:rsid w:val="0092196A"/>
    <w:rsid w:val="00923086"/>
    <w:rsid w:val="009241E8"/>
    <w:rsid w:val="009259E1"/>
    <w:rsid w:val="00925FB1"/>
    <w:rsid w:val="00931ADB"/>
    <w:rsid w:val="00937446"/>
    <w:rsid w:val="00945156"/>
    <w:rsid w:val="00945744"/>
    <w:rsid w:val="00946AFA"/>
    <w:rsid w:val="00955A7E"/>
    <w:rsid w:val="00960DE8"/>
    <w:rsid w:val="009673C2"/>
    <w:rsid w:val="00967442"/>
    <w:rsid w:val="009773B8"/>
    <w:rsid w:val="00981F5A"/>
    <w:rsid w:val="00983565"/>
    <w:rsid w:val="00984065"/>
    <w:rsid w:val="009866A1"/>
    <w:rsid w:val="009901B5"/>
    <w:rsid w:val="00994719"/>
    <w:rsid w:val="00997E10"/>
    <w:rsid w:val="009A2975"/>
    <w:rsid w:val="009A3B91"/>
    <w:rsid w:val="009B17DD"/>
    <w:rsid w:val="009B4D53"/>
    <w:rsid w:val="009C343E"/>
    <w:rsid w:val="009C48D0"/>
    <w:rsid w:val="009C6D3B"/>
    <w:rsid w:val="009C70F4"/>
    <w:rsid w:val="009D17E6"/>
    <w:rsid w:val="009E2DEC"/>
    <w:rsid w:val="009E6BF6"/>
    <w:rsid w:val="009F04EA"/>
    <w:rsid w:val="009F36FC"/>
    <w:rsid w:val="009F6808"/>
    <w:rsid w:val="009F6B56"/>
    <w:rsid w:val="00A0666B"/>
    <w:rsid w:val="00A1026E"/>
    <w:rsid w:val="00A13197"/>
    <w:rsid w:val="00A15EEB"/>
    <w:rsid w:val="00A20546"/>
    <w:rsid w:val="00A31F60"/>
    <w:rsid w:val="00A33BBC"/>
    <w:rsid w:val="00A33EA2"/>
    <w:rsid w:val="00A44056"/>
    <w:rsid w:val="00A479E3"/>
    <w:rsid w:val="00A504C6"/>
    <w:rsid w:val="00A54C55"/>
    <w:rsid w:val="00A572E1"/>
    <w:rsid w:val="00A6313A"/>
    <w:rsid w:val="00A70D38"/>
    <w:rsid w:val="00A76F39"/>
    <w:rsid w:val="00A7732D"/>
    <w:rsid w:val="00A87F00"/>
    <w:rsid w:val="00A902B3"/>
    <w:rsid w:val="00A929E9"/>
    <w:rsid w:val="00A95213"/>
    <w:rsid w:val="00A957E9"/>
    <w:rsid w:val="00A95F7A"/>
    <w:rsid w:val="00AB07A9"/>
    <w:rsid w:val="00AB11FC"/>
    <w:rsid w:val="00AB1246"/>
    <w:rsid w:val="00AC0EBB"/>
    <w:rsid w:val="00AC1356"/>
    <w:rsid w:val="00AC20D6"/>
    <w:rsid w:val="00AC51F6"/>
    <w:rsid w:val="00AD2C56"/>
    <w:rsid w:val="00AD4FE4"/>
    <w:rsid w:val="00AE45F8"/>
    <w:rsid w:val="00AE49C6"/>
    <w:rsid w:val="00AE6F32"/>
    <w:rsid w:val="00AF51BA"/>
    <w:rsid w:val="00AF7701"/>
    <w:rsid w:val="00AF7E38"/>
    <w:rsid w:val="00B0074F"/>
    <w:rsid w:val="00B03C5D"/>
    <w:rsid w:val="00B13174"/>
    <w:rsid w:val="00B15EBE"/>
    <w:rsid w:val="00B163D3"/>
    <w:rsid w:val="00B200A2"/>
    <w:rsid w:val="00B20D55"/>
    <w:rsid w:val="00B23FFA"/>
    <w:rsid w:val="00B33BD4"/>
    <w:rsid w:val="00B41F9B"/>
    <w:rsid w:val="00B441B8"/>
    <w:rsid w:val="00B45424"/>
    <w:rsid w:val="00B47FCB"/>
    <w:rsid w:val="00B5121F"/>
    <w:rsid w:val="00B57AB6"/>
    <w:rsid w:val="00B6249E"/>
    <w:rsid w:val="00B63EB0"/>
    <w:rsid w:val="00B6438A"/>
    <w:rsid w:val="00B677DC"/>
    <w:rsid w:val="00B67B75"/>
    <w:rsid w:val="00B70052"/>
    <w:rsid w:val="00B7256C"/>
    <w:rsid w:val="00B73D62"/>
    <w:rsid w:val="00B7456C"/>
    <w:rsid w:val="00B83E14"/>
    <w:rsid w:val="00B90DD3"/>
    <w:rsid w:val="00B95A98"/>
    <w:rsid w:val="00BA28C8"/>
    <w:rsid w:val="00BA63B3"/>
    <w:rsid w:val="00BA6ED3"/>
    <w:rsid w:val="00BB6638"/>
    <w:rsid w:val="00BB6AC4"/>
    <w:rsid w:val="00BC0623"/>
    <w:rsid w:val="00BC1A61"/>
    <w:rsid w:val="00BC3076"/>
    <w:rsid w:val="00BC7C59"/>
    <w:rsid w:val="00BD1CCA"/>
    <w:rsid w:val="00BD2CA3"/>
    <w:rsid w:val="00BD4137"/>
    <w:rsid w:val="00BD4FFE"/>
    <w:rsid w:val="00BD51CF"/>
    <w:rsid w:val="00BF1A45"/>
    <w:rsid w:val="00BF1F7D"/>
    <w:rsid w:val="00BF4AA4"/>
    <w:rsid w:val="00BF79F5"/>
    <w:rsid w:val="00BF7EAD"/>
    <w:rsid w:val="00C015B8"/>
    <w:rsid w:val="00C1121C"/>
    <w:rsid w:val="00C11CD6"/>
    <w:rsid w:val="00C123D9"/>
    <w:rsid w:val="00C12703"/>
    <w:rsid w:val="00C137B2"/>
    <w:rsid w:val="00C156A2"/>
    <w:rsid w:val="00C15935"/>
    <w:rsid w:val="00C15C09"/>
    <w:rsid w:val="00C17FEC"/>
    <w:rsid w:val="00C22EE3"/>
    <w:rsid w:val="00C26663"/>
    <w:rsid w:val="00C306EB"/>
    <w:rsid w:val="00C32714"/>
    <w:rsid w:val="00C4099C"/>
    <w:rsid w:val="00C44175"/>
    <w:rsid w:val="00C45684"/>
    <w:rsid w:val="00C45FA4"/>
    <w:rsid w:val="00C47D20"/>
    <w:rsid w:val="00C5526C"/>
    <w:rsid w:val="00C57730"/>
    <w:rsid w:val="00C613E0"/>
    <w:rsid w:val="00C63037"/>
    <w:rsid w:val="00C6303A"/>
    <w:rsid w:val="00C715D3"/>
    <w:rsid w:val="00C73DBA"/>
    <w:rsid w:val="00C75CE6"/>
    <w:rsid w:val="00C76531"/>
    <w:rsid w:val="00C8566A"/>
    <w:rsid w:val="00C86055"/>
    <w:rsid w:val="00C87D46"/>
    <w:rsid w:val="00C91F24"/>
    <w:rsid w:val="00C92533"/>
    <w:rsid w:val="00C94950"/>
    <w:rsid w:val="00C9742A"/>
    <w:rsid w:val="00CA0E72"/>
    <w:rsid w:val="00CA3218"/>
    <w:rsid w:val="00CA38C2"/>
    <w:rsid w:val="00CA7CCF"/>
    <w:rsid w:val="00CB1EE7"/>
    <w:rsid w:val="00CB2EFC"/>
    <w:rsid w:val="00CB4C83"/>
    <w:rsid w:val="00CC027B"/>
    <w:rsid w:val="00CC3378"/>
    <w:rsid w:val="00CD13E5"/>
    <w:rsid w:val="00CD15E3"/>
    <w:rsid w:val="00CD1DD1"/>
    <w:rsid w:val="00CD2FDD"/>
    <w:rsid w:val="00CD56BB"/>
    <w:rsid w:val="00CD6113"/>
    <w:rsid w:val="00CD70DC"/>
    <w:rsid w:val="00CD7854"/>
    <w:rsid w:val="00CE66C4"/>
    <w:rsid w:val="00CE6B44"/>
    <w:rsid w:val="00CF2FAD"/>
    <w:rsid w:val="00CF4E75"/>
    <w:rsid w:val="00CF70EC"/>
    <w:rsid w:val="00CF7739"/>
    <w:rsid w:val="00D069B4"/>
    <w:rsid w:val="00D1512D"/>
    <w:rsid w:val="00D16071"/>
    <w:rsid w:val="00D22E6D"/>
    <w:rsid w:val="00D233CA"/>
    <w:rsid w:val="00D2365D"/>
    <w:rsid w:val="00D248C5"/>
    <w:rsid w:val="00D25083"/>
    <w:rsid w:val="00D25D18"/>
    <w:rsid w:val="00D264A0"/>
    <w:rsid w:val="00D40820"/>
    <w:rsid w:val="00D43932"/>
    <w:rsid w:val="00D45211"/>
    <w:rsid w:val="00D542FF"/>
    <w:rsid w:val="00D54ED8"/>
    <w:rsid w:val="00D55AD0"/>
    <w:rsid w:val="00D57236"/>
    <w:rsid w:val="00D6003F"/>
    <w:rsid w:val="00D605F3"/>
    <w:rsid w:val="00D636A1"/>
    <w:rsid w:val="00D641D8"/>
    <w:rsid w:val="00D7363D"/>
    <w:rsid w:val="00D81CFC"/>
    <w:rsid w:val="00D84A0A"/>
    <w:rsid w:val="00D87D7B"/>
    <w:rsid w:val="00D901B7"/>
    <w:rsid w:val="00D90BDD"/>
    <w:rsid w:val="00D91E8E"/>
    <w:rsid w:val="00D959B0"/>
    <w:rsid w:val="00DA5FD5"/>
    <w:rsid w:val="00DC786F"/>
    <w:rsid w:val="00DD53C2"/>
    <w:rsid w:val="00DD5B50"/>
    <w:rsid w:val="00DE1225"/>
    <w:rsid w:val="00DE13B5"/>
    <w:rsid w:val="00DE13BC"/>
    <w:rsid w:val="00DE3698"/>
    <w:rsid w:val="00DF2090"/>
    <w:rsid w:val="00DF46CF"/>
    <w:rsid w:val="00E01C7B"/>
    <w:rsid w:val="00E0434E"/>
    <w:rsid w:val="00E0511A"/>
    <w:rsid w:val="00E06C26"/>
    <w:rsid w:val="00E06EFA"/>
    <w:rsid w:val="00E144A8"/>
    <w:rsid w:val="00E147D1"/>
    <w:rsid w:val="00E15156"/>
    <w:rsid w:val="00E252CF"/>
    <w:rsid w:val="00E25A86"/>
    <w:rsid w:val="00E301DE"/>
    <w:rsid w:val="00E321B6"/>
    <w:rsid w:val="00E332EC"/>
    <w:rsid w:val="00E33CAE"/>
    <w:rsid w:val="00E36403"/>
    <w:rsid w:val="00E36A09"/>
    <w:rsid w:val="00E37540"/>
    <w:rsid w:val="00E419BA"/>
    <w:rsid w:val="00E45362"/>
    <w:rsid w:val="00E53C3F"/>
    <w:rsid w:val="00E57105"/>
    <w:rsid w:val="00E5718D"/>
    <w:rsid w:val="00E625E2"/>
    <w:rsid w:val="00E6464C"/>
    <w:rsid w:val="00E648CE"/>
    <w:rsid w:val="00E65596"/>
    <w:rsid w:val="00E735AE"/>
    <w:rsid w:val="00E74948"/>
    <w:rsid w:val="00E75789"/>
    <w:rsid w:val="00E80FB6"/>
    <w:rsid w:val="00E81D54"/>
    <w:rsid w:val="00E84932"/>
    <w:rsid w:val="00E8520C"/>
    <w:rsid w:val="00E852B2"/>
    <w:rsid w:val="00E854C0"/>
    <w:rsid w:val="00E86235"/>
    <w:rsid w:val="00E87289"/>
    <w:rsid w:val="00E90BF7"/>
    <w:rsid w:val="00E91FB4"/>
    <w:rsid w:val="00E92AE8"/>
    <w:rsid w:val="00E93C7D"/>
    <w:rsid w:val="00E96D5C"/>
    <w:rsid w:val="00EA3B38"/>
    <w:rsid w:val="00EB0482"/>
    <w:rsid w:val="00EB04D9"/>
    <w:rsid w:val="00EB3FBE"/>
    <w:rsid w:val="00EB73CD"/>
    <w:rsid w:val="00EC0248"/>
    <w:rsid w:val="00EC1464"/>
    <w:rsid w:val="00EC3BD1"/>
    <w:rsid w:val="00EC56FD"/>
    <w:rsid w:val="00EC79C1"/>
    <w:rsid w:val="00ED127F"/>
    <w:rsid w:val="00ED6176"/>
    <w:rsid w:val="00EE1F44"/>
    <w:rsid w:val="00EE5751"/>
    <w:rsid w:val="00EF6E22"/>
    <w:rsid w:val="00F03688"/>
    <w:rsid w:val="00F05BAA"/>
    <w:rsid w:val="00F06434"/>
    <w:rsid w:val="00F118B6"/>
    <w:rsid w:val="00F120A4"/>
    <w:rsid w:val="00F15D41"/>
    <w:rsid w:val="00F160A9"/>
    <w:rsid w:val="00F23C2E"/>
    <w:rsid w:val="00F24BEC"/>
    <w:rsid w:val="00F26D78"/>
    <w:rsid w:val="00F30753"/>
    <w:rsid w:val="00F32779"/>
    <w:rsid w:val="00F3294C"/>
    <w:rsid w:val="00F3382B"/>
    <w:rsid w:val="00F34B2E"/>
    <w:rsid w:val="00F355C3"/>
    <w:rsid w:val="00F36B8A"/>
    <w:rsid w:val="00F40E78"/>
    <w:rsid w:val="00F41458"/>
    <w:rsid w:val="00F42C19"/>
    <w:rsid w:val="00F457D4"/>
    <w:rsid w:val="00F47488"/>
    <w:rsid w:val="00F5077C"/>
    <w:rsid w:val="00F532F1"/>
    <w:rsid w:val="00F544C2"/>
    <w:rsid w:val="00F54FC6"/>
    <w:rsid w:val="00F572CC"/>
    <w:rsid w:val="00F57AE6"/>
    <w:rsid w:val="00F608DA"/>
    <w:rsid w:val="00F632D2"/>
    <w:rsid w:val="00F63DB2"/>
    <w:rsid w:val="00F65A54"/>
    <w:rsid w:val="00F665D1"/>
    <w:rsid w:val="00F66A6F"/>
    <w:rsid w:val="00F66F94"/>
    <w:rsid w:val="00F70DA5"/>
    <w:rsid w:val="00F71FE7"/>
    <w:rsid w:val="00F761F8"/>
    <w:rsid w:val="00F8386D"/>
    <w:rsid w:val="00F83E42"/>
    <w:rsid w:val="00F87AFF"/>
    <w:rsid w:val="00F9431D"/>
    <w:rsid w:val="00F95E13"/>
    <w:rsid w:val="00F97365"/>
    <w:rsid w:val="00FA0607"/>
    <w:rsid w:val="00FA3EBD"/>
    <w:rsid w:val="00FB3217"/>
    <w:rsid w:val="00FB5B39"/>
    <w:rsid w:val="00FB5C51"/>
    <w:rsid w:val="00FB6407"/>
    <w:rsid w:val="00FB779F"/>
    <w:rsid w:val="00FC11DE"/>
    <w:rsid w:val="00FC4728"/>
    <w:rsid w:val="00FC6D85"/>
    <w:rsid w:val="00FC7D4D"/>
    <w:rsid w:val="00FD761E"/>
    <w:rsid w:val="00FE2F8B"/>
    <w:rsid w:val="00FE30E6"/>
    <w:rsid w:val="00FE52E2"/>
    <w:rsid w:val="00FF0204"/>
    <w:rsid w:val="00FF0709"/>
    <w:rsid w:val="00FF286D"/>
    <w:rsid w:val="00FF28FA"/>
    <w:rsid w:val="00FF5AF5"/>
    <w:rsid w:val="00FF6B8B"/>
    <w:rsid w:val="00FF6FBC"/>
    <w:rsid w:val="1AFF23F4"/>
    <w:rsid w:val="4337350C"/>
    <w:rsid w:val="4CA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12E1"/>
  <w15:docId w15:val="{FDCF28F1-BFC3-445B-9E94-0E43212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8">
    <w:name w:val="heading 8"/>
    <w:basedOn w:val="Normal"/>
    <w:next w:val="Normal"/>
    <w:link w:val="Titlu8Caracter"/>
    <w:unhideWhenUsed/>
    <w:qFormat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Pr>
      <w:b/>
      <w:bCs/>
    </w:rPr>
  </w:style>
  <w:style w:type="character" w:styleId="Accentuat">
    <w:name w:val="Emphasis"/>
    <w:basedOn w:val="Fontdeparagrafimplicit"/>
    <w:uiPriority w:val="20"/>
    <w:qFormat/>
    <w:rPr>
      <w:i/>
      <w:iCs/>
    </w:rPr>
  </w:style>
  <w:style w:type="character" w:styleId="HyperlinkParcurs">
    <w:name w:val="FollowedHyperlink"/>
    <w:basedOn w:val="Fontdeparagrafimplicit"/>
    <w:uiPriority w:val="99"/>
    <w:semiHidden/>
    <w:unhideWhenUsed/>
    <w:qFormat/>
    <w:rPr>
      <w:color w:val="800080"/>
      <w:u w:val="single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ntet">
    <w:name w:val="header"/>
    <w:basedOn w:val="Normal"/>
    <w:link w:val="AntetCaract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aracter"/>
    <w:uiPriority w:val="99"/>
    <w:unhideWhenUsed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styleId="Titlu">
    <w:name w:val="Title"/>
    <w:basedOn w:val="Normal"/>
    <w:next w:val="Normal"/>
    <w:link w:val="TitluCaracte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u">
    <w:name w:val="cu"/>
    <w:basedOn w:val="Normal"/>
    <w:qFormat/>
    <w:pPr>
      <w:spacing w:before="45" w:after="0" w:line="240" w:lineRule="auto"/>
      <w:ind w:left="1134" w:right="567" w:hanging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ut">
    <w:name w:val="cut"/>
    <w:basedOn w:val="Normal"/>
    <w:qFormat/>
    <w:pPr>
      <w:spacing w:after="0" w:line="240" w:lineRule="auto"/>
      <w:ind w:left="567" w:right="567"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p">
    <w:name w:val="cp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">
    <w:name w:val="nt"/>
    <w:basedOn w:val="Normal"/>
    <w:qFormat/>
    <w:pPr>
      <w:spacing w:after="0" w:line="240" w:lineRule="auto"/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md">
    <w:name w:val="md"/>
    <w:basedOn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">
    <w:name w:val="js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">
    <w:name w:val="forma"/>
    <w:basedOn w:val="Normal"/>
    <w:qFormat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m">
    <w:name w:val="sm"/>
    <w:basedOn w:val="Normal"/>
    <w:qFormat/>
    <w:pPr>
      <w:spacing w:before="240" w:after="0" w:line="240" w:lineRule="auto"/>
      <w:ind w:left="567" w:firstLine="56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functia">
    <w:name w:val="sm_functia"/>
    <w:basedOn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data">
    <w:name w:val="sm_data"/>
    <w:basedOn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ntetCaracter">
    <w:name w:val="Antet Caracter"/>
    <w:basedOn w:val="Fontdeparagrafimplicit"/>
    <w:link w:val="Antet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paragraf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rspaiere">
    <w:name w:val="No Spacing"/>
    <w:uiPriority w:val="1"/>
    <w:qFormat/>
    <w:rPr>
      <w:sz w:val="22"/>
      <w:szCs w:val="22"/>
      <w:lang w:val="ru-RU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lu8Caracter">
    <w:name w:val="Titlu 8 Caracter"/>
    <w:basedOn w:val="Fontdeparagrafimplicit"/>
    <w:link w:val="Titlu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em2">
    <w:name w:val="em2"/>
    <w:basedOn w:val="Fontdeparagrafimplicit"/>
    <w:qFormat/>
  </w:style>
  <w:style w:type="paragraph" w:customStyle="1" w:styleId="Style37">
    <w:name w:val="_Style 37"/>
    <w:basedOn w:val="Normal"/>
    <w:next w:val="Titlu"/>
    <w:link w:val="a"/>
    <w:qFormat/>
    <w:pPr>
      <w:suppressAutoHyphens/>
      <w:autoSpaceDN w:val="0"/>
      <w:spacing w:after="0" w:line="360" w:lineRule="auto"/>
      <w:ind w:left="720"/>
      <w:jc w:val="center"/>
    </w:pPr>
    <w:rPr>
      <w:rFonts w:ascii="RomJurnalist" w:eastAsia="Times New Roman" w:hAnsi="RomJurnalist" w:cs="Times New Roman"/>
      <w:b/>
      <w:spacing w:val="8"/>
      <w:sz w:val="25"/>
      <w:szCs w:val="20"/>
      <w:lang w:val="ro-RO"/>
    </w:rPr>
  </w:style>
  <w:style w:type="character" w:customStyle="1" w:styleId="a">
    <w:name w:val="Название Знак"/>
    <w:link w:val="Style37"/>
    <w:qFormat/>
    <w:rPr>
      <w:rFonts w:ascii="RomJurnalist" w:eastAsia="Times New Roman" w:hAnsi="RomJurnalist" w:cs="Times New Roman"/>
      <w:b/>
      <w:spacing w:val="8"/>
      <w:sz w:val="25"/>
      <w:szCs w:val="20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Fontdeparagrafimplici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Pr>
      <w:b/>
      <w:bCs/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character" w:customStyle="1" w:styleId="NormalWebCaracter">
    <w:name w:val="Normal (Web) Caracter"/>
    <w:link w:val="NormalWe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Fontdeparagrafimplici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uire">
    <w:name w:val="Revision"/>
    <w:hidden/>
    <w:uiPriority w:val="99"/>
    <w:semiHidden/>
    <w:rsid w:val="006B4A7E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F1752-7506-4C3E-A885-C6188DBD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Ilescu</dc:creator>
  <cp:lastModifiedBy>Cristian Nicolae</cp:lastModifiedBy>
  <cp:revision>123</cp:revision>
  <cp:lastPrinted>2024-07-18T14:53:00Z</cp:lastPrinted>
  <dcterms:created xsi:type="dcterms:W3CDTF">2024-07-18T09:21:00Z</dcterms:created>
  <dcterms:modified xsi:type="dcterms:W3CDTF">2025-07-22T12:49:00Z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9C2E04359B1D47DCA948ED33A2BA81C8_13</vt:lpwstr>
  </property>
  <property fmtid="{D5CDD505-2E9C-101B-9397-08002B2CF9AE}" pid="4" name="MSIP_Label_35300bb1-3a17-403a-b965-e89ce3fc377c_Enabled">
    <vt:lpwstr>true</vt:lpwstr>
  </property>
  <property fmtid="{D5CDD505-2E9C-101B-9397-08002B2CF9AE}" pid="5" name="MSIP_Label_35300bb1-3a17-403a-b965-e89ce3fc377c_SetDate">
    <vt:lpwstr>2025-04-18T08:23:02Z</vt:lpwstr>
  </property>
  <property fmtid="{D5CDD505-2E9C-101B-9397-08002B2CF9AE}" pid="6" name="MSIP_Label_35300bb1-3a17-403a-b965-e89ce3fc377c_Method">
    <vt:lpwstr>Privileged</vt:lpwstr>
  </property>
  <property fmtid="{D5CDD505-2E9C-101B-9397-08002B2CF9AE}" pid="7" name="MSIP_Label_35300bb1-3a17-403a-b965-e89ce3fc377c_Name">
    <vt:lpwstr>35300bb1-3a17-403a-b965-e89ce3fc377c</vt:lpwstr>
  </property>
  <property fmtid="{D5CDD505-2E9C-101B-9397-08002B2CF9AE}" pid="8" name="MSIP_Label_35300bb1-3a17-403a-b965-e89ce3fc377c_SiteId">
    <vt:lpwstr>e763b98e-4b7c-41f7-9105-0ab753568526</vt:lpwstr>
  </property>
  <property fmtid="{D5CDD505-2E9C-101B-9397-08002B2CF9AE}" pid="9" name="MSIP_Label_35300bb1-3a17-403a-b965-e89ce3fc377c_ActionId">
    <vt:lpwstr>95c93ddc-be29-4874-9667-0079f8205c5e</vt:lpwstr>
  </property>
  <property fmtid="{D5CDD505-2E9C-101B-9397-08002B2CF9AE}" pid="10" name="MSIP_Label_35300bb1-3a17-403a-b965-e89ce3fc377c_ContentBits">
    <vt:lpwstr>0</vt:lpwstr>
  </property>
  <property fmtid="{D5CDD505-2E9C-101B-9397-08002B2CF9AE}" pid="11" name="MSIP_Label_35300bb1-3a17-403a-b965-e89ce3fc377c_Tag">
    <vt:lpwstr>10, 0, 1, 1</vt:lpwstr>
  </property>
</Properties>
</file>