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4CD4" w14:textId="11F0A926" w:rsidR="009751A2" w:rsidRPr="00A13709" w:rsidRDefault="00EA5E17" w:rsidP="00D31E25">
      <w:pPr>
        <w:jc w:val="center"/>
        <w:rPr>
          <w:b/>
          <w:bCs/>
          <w:color w:val="002060"/>
        </w:rPr>
      </w:pPr>
      <w:r w:rsidRPr="00A13709">
        <w:rPr>
          <w:b/>
          <w:bCs/>
          <w:color w:val="002060"/>
        </w:rPr>
        <w:t>List of</w:t>
      </w:r>
      <w:r w:rsidR="00C01AC6" w:rsidRPr="00A13709">
        <w:rPr>
          <w:b/>
          <w:bCs/>
          <w:color w:val="002060"/>
        </w:rPr>
        <w:t xml:space="preserve"> </w:t>
      </w:r>
      <w:r w:rsidRPr="00A13709">
        <w:rPr>
          <w:b/>
          <w:bCs/>
          <w:color w:val="002060"/>
        </w:rPr>
        <w:t xml:space="preserve">reference indices </w:t>
      </w:r>
      <w:r w:rsidR="00E4345B" w:rsidRPr="00A13709">
        <w:rPr>
          <w:b/>
          <w:bCs/>
          <w:color w:val="002060"/>
        </w:rPr>
        <w:t>calculat</w:t>
      </w:r>
      <w:r w:rsidRPr="00A13709">
        <w:rPr>
          <w:b/>
          <w:bCs/>
          <w:color w:val="002060"/>
        </w:rPr>
        <w:t>ed and published</w:t>
      </w:r>
      <w:r w:rsidR="00E4345B" w:rsidRPr="00A13709">
        <w:rPr>
          <w:b/>
          <w:bCs/>
          <w:color w:val="002060"/>
        </w:rPr>
        <w:t xml:space="preserve"> </w:t>
      </w:r>
      <w:r w:rsidR="00A13709">
        <w:rPr>
          <w:b/>
          <w:bCs/>
          <w:color w:val="002060"/>
        </w:rPr>
        <w:t>by</w:t>
      </w:r>
    </w:p>
    <w:p w14:paraId="4353B8D0" w14:textId="44B0D2BA" w:rsidR="008B30DF" w:rsidRPr="00A13709" w:rsidRDefault="00E4345B" w:rsidP="00D31E25">
      <w:pPr>
        <w:jc w:val="center"/>
        <w:rPr>
          <w:b/>
          <w:bCs/>
          <w:i/>
          <w:color w:val="002060"/>
          <w:lang w:val="fr-FR"/>
        </w:rPr>
      </w:pPr>
      <w:r w:rsidRPr="00A13709">
        <w:rPr>
          <w:b/>
          <w:bCs/>
          <w:color w:val="002060"/>
          <w:lang w:val="fr-FR"/>
        </w:rPr>
        <w:t xml:space="preserve">Bursa </w:t>
      </w:r>
      <w:r w:rsidR="003C19B5" w:rsidRPr="00A13709">
        <w:rPr>
          <w:b/>
          <w:bCs/>
          <w:color w:val="002060"/>
          <w:lang w:val="fr-FR"/>
        </w:rPr>
        <w:t xml:space="preserve">Romana de </w:t>
      </w:r>
      <w:proofErr w:type="spellStart"/>
      <w:r w:rsidR="003C19B5" w:rsidRPr="00A13709">
        <w:rPr>
          <w:b/>
          <w:bCs/>
          <w:color w:val="002060"/>
          <w:lang w:val="fr-FR"/>
        </w:rPr>
        <w:t>Marfuri</w:t>
      </w:r>
      <w:proofErr w:type="spellEnd"/>
      <w:r w:rsidR="00E0598A" w:rsidRPr="00A13709">
        <w:rPr>
          <w:b/>
          <w:bCs/>
          <w:color w:val="002060"/>
          <w:lang w:val="fr-FR"/>
        </w:rPr>
        <w:t xml:space="preserve"> </w:t>
      </w:r>
      <w:r w:rsidR="00EA5E17" w:rsidRPr="00A13709">
        <w:rPr>
          <w:b/>
          <w:bCs/>
          <w:i/>
          <w:color w:val="002060"/>
          <w:lang w:val="fr-FR"/>
        </w:rPr>
        <w:t>(</w:t>
      </w:r>
      <w:proofErr w:type="spellStart"/>
      <w:r w:rsidR="00EA5E17" w:rsidRPr="00A13709">
        <w:rPr>
          <w:b/>
          <w:bCs/>
          <w:i/>
          <w:color w:val="002060"/>
          <w:lang w:val="fr-FR"/>
        </w:rPr>
        <w:t>Romanian</w:t>
      </w:r>
      <w:proofErr w:type="spellEnd"/>
      <w:r w:rsidR="00EA5E17" w:rsidRPr="00A13709">
        <w:rPr>
          <w:b/>
          <w:bCs/>
          <w:i/>
          <w:color w:val="002060"/>
          <w:lang w:val="fr-FR"/>
        </w:rPr>
        <w:t xml:space="preserve"> </w:t>
      </w:r>
      <w:proofErr w:type="spellStart"/>
      <w:r w:rsidR="00EA5E17" w:rsidRPr="00A13709">
        <w:rPr>
          <w:b/>
          <w:bCs/>
          <w:i/>
          <w:color w:val="002060"/>
          <w:lang w:val="fr-FR"/>
        </w:rPr>
        <w:t>Commodities</w:t>
      </w:r>
      <w:proofErr w:type="spellEnd"/>
      <w:r w:rsidR="00EA5E17" w:rsidRPr="00A13709">
        <w:rPr>
          <w:b/>
          <w:bCs/>
          <w:i/>
          <w:color w:val="002060"/>
          <w:lang w:val="fr-FR"/>
        </w:rPr>
        <w:t xml:space="preserve"> Exchange)</w:t>
      </w:r>
      <w:r w:rsidR="00816DCD">
        <w:rPr>
          <w:b/>
          <w:bCs/>
          <w:i/>
          <w:color w:val="002060"/>
          <w:lang w:val="fr-FR"/>
        </w:rPr>
        <w:t xml:space="preserve"> EST SRL</w:t>
      </w:r>
    </w:p>
    <w:p w14:paraId="58BE836A" w14:textId="1905F364" w:rsidR="006E45C2" w:rsidRPr="00A13709" w:rsidRDefault="006E45C2" w:rsidP="00D31E25">
      <w:pPr>
        <w:jc w:val="both"/>
        <w:rPr>
          <w:lang w:val="fr-FR"/>
        </w:rPr>
      </w:pPr>
    </w:p>
    <w:p w14:paraId="7DB63F13" w14:textId="76DF360D" w:rsidR="00AF7762" w:rsidRPr="00A13709" w:rsidRDefault="00EA5E17" w:rsidP="00D31E25">
      <w:pPr>
        <w:pStyle w:val="ListParagraph"/>
        <w:numPr>
          <w:ilvl w:val="0"/>
          <w:numId w:val="1"/>
        </w:numPr>
        <w:jc w:val="both"/>
        <w:rPr>
          <w:b/>
          <w:bCs/>
        </w:rPr>
      </w:pPr>
      <w:r w:rsidRPr="00A13709">
        <w:rPr>
          <w:b/>
          <w:bCs/>
        </w:rPr>
        <w:t>Preamble</w:t>
      </w:r>
    </w:p>
    <w:p w14:paraId="4E2DBBEB" w14:textId="6CC9FEF3" w:rsidR="006E45C2" w:rsidRPr="00A13709" w:rsidRDefault="00505D1A" w:rsidP="00B35146">
      <w:pPr>
        <w:ind w:left="720"/>
        <w:jc w:val="both"/>
      </w:pPr>
      <w:r w:rsidRPr="00A13709">
        <w:t xml:space="preserve">The </w:t>
      </w:r>
      <w:r w:rsidR="00B35146" w:rsidRPr="00B35146">
        <w:t xml:space="preserve">Bursa Romana de </w:t>
      </w:r>
      <w:proofErr w:type="spellStart"/>
      <w:r w:rsidR="00B35146" w:rsidRPr="00B35146">
        <w:t>M</w:t>
      </w:r>
      <w:r w:rsidR="00B35146">
        <w:t>ă</w:t>
      </w:r>
      <w:r w:rsidR="00B35146" w:rsidRPr="00B35146">
        <w:t>rfuri</w:t>
      </w:r>
      <w:proofErr w:type="spellEnd"/>
      <w:r w:rsidR="00B35146" w:rsidRPr="00B35146">
        <w:t xml:space="preserve"> (Romanian Commodities Exchange) EST SRL</w:t>
      </w:r>
      <w:r w:rsidR="00B35146">
        <w:t xml:space="preserve"> / BRM EST </w:t>
      </w:r>
      <w:r w:rsidRPr="00A13709">
        <w:t xml:space="preserve">calculates and publishes a series of reference indices for the price of natural gas traded on its own platforms as a result of the concluded transactions. Indices are called </w:t>
      </w:r>
      <w:r w:rsidR="00A61868" w:rsidRPr="00A13709">
        <w:rPr>
          <w:b/>
          <w:bCs/>
        </w:rPr>
        <w:t>“</w:t>
      </w:r>
      <w:r w:rsidR="00816DCD">
        <w:rPr>
          <w:b/>
          <w:bCs/>
        </w:rPr>
        <w:t>MD</w:t>
      </w:r>
      <w:r w:rsidR="00A61868" w:rsidRPr="00A13709">
        <w:rPr>
          <w:b/>
          <w:bCs/>
        </w:rPr>
        <w:t>GAS</w:t>
      </w:r>
      <w:r w:rsidR="00213180" w:rsidRPr="00A13709">
        <w:rPr>
          <w:b/>
          <w:bCs/>
        </w:rPr>
        <w:t>”</w:t>
      </w:r>
      <w:r w:rsidR="00213180" w:rsidRPr="00A13709">
        <w:t xml:space="preserve"> </w:t>
      </w:r>
      <w:r w:rsidRPr="00A13709">
        <w:t>plus an ending, depending on the type of market segment for which they are calculated</w:t>
      </w:r>
      <w:r w:rsidR="00AF7762" w:rsidRPr="00A13709">
        <w:t>.</w:t>
      </w:r>
      <w:r w:rsidR="00D161B4" w:rsidRPr="00A13709">
        <w:rPr>
          <w:noProof/>
        </w:rPr>
        <w:t xml:space="preserve"> </w:t>
      </w:r>
    </w:p>
    <w:p w14:paraId="46C76214" w14:textId="2EB2F2ED" w:rsidR="002C6AE8" w:rsidRPr="00A13709" w:rsidRDefault="00505D1A" w:rsidP="00D31E25">
      <w:pPr>
        <w:pStyle w:val="ListParagraph"/>
        <w:jc w:val="both"/>
      </w:pPr>
      <w:r w:rsidRPr="00A13709">
        <w:t xml:space="preserve">All indices calculated by the </w:t>
      </w:r>
      <w:r w:rsidR="00B35146">
        <w:t>BRM EST</w:t>
      </w:r>
      <w:r w:rsidRPr="00A13709">
        <w:t xml:space="preserve"> are the intellectual property of the </w:t>
      </w:r>
      <w:r w:rsidR="00B35146">
        <w:t>BRM EST and it</w:t>
      </w:r>
      <w:r w:rsidR="00B35146">
        <w:rPr>
          <w:lang w:val="en-US"/>
        </w:rPr>
        <w:t xml:space="preserve">’s shareholder </w:t>
      </w:r>
      <w:r w:rsidR="00B35146" w:rsidRPr="00B35146">
        <w:t xml:space="preserve">Bursa </w:t>
      </w:r>
      <w:proofErr w:type="spellStart"/>
      <w:r w:rsidR="00B35146" w:rsidRPr="00B35146">
        <w:t>Rom</w:t>
      </w:r>
      <w:r w:rsidR="00B35146">
        <w:t>â</w:t>
      </w:r>
      <w:r w:rsidR="00B35146" w:rsidRPr="00B35146">
        <w:t>n</w:t>
      </w:r>
      <w:r w:rsidR="00B35146">
        <w:t>ă</w:t>
      </w:r>
      <w:proofErr w:type="spellEnd"/>
      <w:r w:rsidR="00B35146" w:rsidRPr="00B35146">
        <w:t xml:space="preserve"> de </w:t>
      </w:r>
      <w:proofErr w:type="spellStart"/>
      <w:r w:rsidR="00B35146" w:rsidRPr="00B35146">
        <w:t>M</w:t>
      </w:r>
      <w:r w:rsidR="00B35146">
        <w:t>ă</w:t>
      </w:r>
      <w:r w:rsidR="00B35146" w:rsidRPr="00B35146">
        <w:t>rfuri</w:t>
      </w:r>
      <w:proofErr w:type="spellEnd"/>
      <w:r w:rsidR="00B35146" w:rsidRPr="00B35146">
        <w:t xml:space="preserve"> (Romanian Commodities Exchange)</w:t>
      </w:r>
      <w:r w:rsidR="00B35146">
        <w:t xml:space="preserve"> SA. </w:t>
      </w:r>
      <w:r w:rsidRPr="00A13709">
        <w:t xml:space="preserve">The transactions concluded on the </w:t>
      </w:r>
      <w:r w:rsidR="00B35146">
        <w:t>BRM EST</w:t>
      </w:r>
      <w:r w:rsidRPr="00A13709">
        <w:t xml:space="preserve"> platforms dedicated to the natural gas market are the source of the data</w:t>
      </w:r>
      <w:r w:rsidR="0058367A" w:rsidRPr="00A13709">
        <w:t>.</w:t>
      </w:r>
    </w:p>
    <w:p w14:paraId="2AA4DDA6" w14:textId="77777777" w:rsidR="000A210E" w:rsidRPr="00A13709" w:rsidRDefault="000A210E" w:rsidP="00D31E25">
      <w:pPr>
        <w:pStyle w:val="ListParagraph"/>
        <w:jc w:val="both"/>
      </w:pPr>
    </w:p>
    <w:p w14:paraId="6FC3501C" w14:textId="62DEEDEF" w:rsidR="00FD470F" w:rsidRPr="00A13709" w:rsidRDefault="00505D1A" w:rsidP="00D31E25">
      <w:pPr>
        <w:pStyle w:val="ListParagraph"/>
        <w:numPr>
          <w:ilvl w:val="0"/>
          <w:numId w:val="1"/>
        </w:numPr>
        <w:jc w:val="both"/>
        <w:rPr>
          <w:b/>
          <w:bCs/>
        </w:rPr>
      </w:pPr>
      <w:r w:rsidRPr="00A13709">
        <w:rPr>
          <w:b/>
          <w:bCs/>
        </w:rPr>
        <w:t>Name of indices and meaning</w:t>
      </w:r>
      <w:r w:rsidR="00FE4989" w:rsidRPr="00A13709">
        <w:rPr>
          <w:b/>
          <w:bCs/>
        </w:rPr>
        <w:t>:</w:t>
      </w:r>
    </w:p>
    <w:p w14:paraId="39F1868F" w14:textId="77777777" w:rsidR="00D161B4" w:rsidRPr="00A13709" w:rsidRDefault="00D161B4" w:rsidP="00D161B4">
      <w:pPr>
        <w:pStyle w:val="ListParagraph"/>
        <w:jc w:val="both"/>
        <w:rPr>
          <w:b/>
          <w:bCs/>
        </w:rPr>
      </w:pPr>
    </w:p>
    <w:p w14:paraId="59ADB47B" w14:textId="39535A49" w:rsidR="000A210E" w:rsidRPr="00A13709" w:rsidRDefault="000A210E" w:rsidP="00D31E25">
      <w:pPr>
        <w:pStyle w:val="ListParagraph"/>
        <w:jc w:val="both"/>
      </w:pPr>
    </w:p>
    <w:p w14:paraId="0CC22A60" w14:textId="1E17D329" w:rsidR="000A210E" w:rsidRPr="00A13709" w:rsidRDefault="00816DCD" w:rsidP="00D31E25">
      <w:pPr>
        <w:pStyle w:val="ListParagraph"/>
        <w:jc w:val="both"/>
      </w:pPr>
      <w:r>
        <w:rPr>
          <w:b/>
          <w:bCs/>
        </w:rPr>
        <w:t>MDGAS</w:t>
      </w:r>
      <w:r w:rsidR="0078449D" w:rsidRPr="00A13709">
        <w:rPr>
          <w:b/>
          <w:bCs/>
        </w:rPr>
        <w:t>_DA</w:t>
      </w:r>
      <w:r w:rsidR="0078449D" w:rsidRPr="00A13709">
        <w:t xml:space="preserve">: </w:t>
      </w:r>
      <w:r w:rsidR="00791DAD" w:rsidRPr="00A13709">
        <w:t xml:space="preserve">is the price index calculated for the transactions concluded for one gas day of </w:t>
      </w:r>
      <w:r w:rsidR="00791DAD" w:rsidRPr="00A13709">
        <w:rPr>
          <w:u w:val="single"/>
        </w:rPr>
        <w:t>natural gas</w:t>
      </w:r>
      <w:r w:rsidR="00791DAD" w:rsidRPr="00A13709">
        <w:t xml:space="preserve"> delivery, namely the </w:t>
      </w:r>
      <w:r w:rsidR="00791DAD" w:rsidRPr="00A13709">
        <w:rPr>
          <w:u w:val="single"/>
        </w:rPr>
        <w:t>day ahead</w:t>
      </w:r>
      <w:r w:rsidR="005D01C3" w:rsidRPr="00A13709">
        <w:t>.</w:t>
      </w:r>
    </w:p>
    <w:p w14:paraId="10EA1433" w14:textId="130C885D" w:rsidR="00D161B4" w:rsidRPr="00A13709" w:rsidRDefault="00B35146" w:rsidP="00B35146">
      <w:pPr>
        <w:pStyle w:val="ListParagraph"/>
        <w:jc w:val="center"/>
      </w:pPr>
      <w:r>
        <w:rPr>
          <w:b/>
          <w:bCs/>
          <w:noProof/>
          <w:sz w:val="52"/>
          <w:szCs w:val="52"/>
          <w:lang w:val="ro-RO"/>
        </w:rPr>
        <w:drawing>
          <wp:inline distT="0" distB="0" distL="0" distR="0" wp14:anchorId="62D821AA" wp14:editId="18905459">
            <wp:extent cx="1341120" cy="312420"/>
            <wp:effectExtent l="0" t="0" r="0" b="0"/>
            <wp:docPr id="191677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12420"/>
                    </a:xfrm>
                    <a:prstGeom prst="rect">
                      <a:avLst/>
                    </a:prstGeom>
                    <a:noFill/>
                    <a:ln>
                      <a:noFill/>
                    </a:ln>
                  </pic:spPr>
                </pic:pic>
              </a:graphicData>
            </a:graphic>
          </wp:inline>
        </w:drawing>
      </w:r>
    </w:p>
    <w:p w14:paraId="7C47D569" w14:textId="13964EF8" w:rsidR="00394F15" w:rsidRPr="00A13709" w:rsidRDefault="00816DCD" w:rsidP="00D31E25">
      <w:pPr>
        <w:pStyle w:val="ListParagraph"/>
        <w:jc w:val="both"/>
      </w:pPr>
      <w:r>
        <w:rPr>
          <w:b/>
          <w:bCs/>
        </w:rPr>
        <w:t>MDGAS</w:t>
      </w:r>
      <w:r w:rsidR="00394F15" w:rsidRPr="00A13709">
        <w:rPr>
          <w:b/>
          <w:bCs/>
        </w:rPr>
        <w:t>_WD</w:t>
      </w:r>
      <w:r w:rsidR="00394F15" w:rsidRPr="00A13709">
        <w:t xml:space="preserve">: </w:t>
      </w:r>
      <w:r w:rsidR="00791DAD" w:rsidRPr="00A13709">
        <w:t xml:space="preserve">is the price index calculated for the transactions concluded for one gas day of </w:t>
      </w:r>
      <w:r w:rsidR="00791DAD" w:rsidRPr="00A13709">
        <w:rPr>
          <w:u w:val="single"/>
        </w:rPr>
        <w:t>natural gas</w:t>
      </w:r>
      <w:r w:rsidR="00791DAD" w:rsidRPr="00A13709">
        <w:t xml:space="preserve"> delivery, namely the </w:t>
      </w:r>
      <w:r w:rsidR="00EB1765" w:rsidRPr="00A13709">
        <w:rPr>
          <w:u w:val="single"/>
        </w:rPr>
        <w:t>within-day</w:t>
      </w:r>
      <w:r w:rsidR="005D01C3" w:rsidRPr="00A13709">
        <w:t>.</w:t>
      </w:r>
    </w:p>
    <w:p w14:paraId="0BC0E42B" w14:textId="08603EAA" w:rsidR="00D161B4" w:rsidRPr="00A13709" w:rsidRDefault="00B35146" w:rsidP="00B35146">
      <w:pPr>
        <w:pStyle w:val="ListParagraph"/>
        <w:jc w:val="center"/>
      </w:pPr>
      <w:r>
        <w:rPr>
          <w:noProof/>
          <w:lang w:val="ro-RO"/>
        </w:rPr>
        <w:drawing>
          <wp:inline distT="0" distB="0" distL="0" distR="0" wp14:anchorId="6F50A691" wp14:editId="04130C54">
            <wp:extent cx="1356360" cy="289560"/>
            <wp:effectExtent l="0" t="0" r="0" b="0"/>
            <wp:docPr id="2034433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289560"/>
                    </a:xfrm>
                    <a:prstGeom prst="rect">
                      <a:avLst/>
                    </a:prstGeom>
                    <a:noFill/>
                    <a:ln>
                      <a:noFill/>
                    </a:ln>
                  </pic:spPr>
                </pic:pic>
              </a:graphicData>
            </a:graphic>
          </wp:inline>
        </w:drawing>
      </w:r>
    </w:p>
    <w:p w14:paraId="17DB4288" w14:textId="198D9170" w:rsidR="00F97131" w:rsidRPr="00A13709" w:rsidRDefault="00816DCD" w:rsidP="00D31E25">
      <w:pPr>
        <w:pStyle w:val="ListParagraph"/>
        <w:jc w:val="both"/>
      </w:pPr>
      <w:r>
        <w:rPr>
          <w:b/>
          <w:bCs/>
        </w:rPr>
        <w:t>MDGAS</w:t>
      </w:r>
      <w:r w:rsidR="00394F15" w:rsidRPr="00A13709">
        <w:rPr>
          <w:b/>
          <w:bCs/>
        </w:rPr>
        <w:t>_FW</w:t>
      </w:r>
      <w:r w:rsidR="00296C06" w:rsidRPr="00A13709">
        <w:t xml:space="preserve">: </w:t>
      </w:r>
      <w:r w:rsidR="00EB1765" w:rsidRPr="00A13709">
        <w:t xml:space="preserve">is the price index calculated for the transactions concluded on the </w:t>
      </w:r>
      <w:r w:rsidR="00E10254" w:rsidRPr="00A13709">
        <w:t>forward</w:t>
      </w:r>
      <w:r w:rsidR="00EB1765" w:rsidRPr="00A13709">
        <w:t xml:space="preserve"> markets for products whose delivery period is exactly the delivery period tracked. The index is calculated BEFORE the beginning of the delivery period tracked with the index</w:t>
      </w:r>
      <w:r w:rsidR="00AE57A9" w:rsidRPr="00A13709">
        <w:t>.</w:t>
      </w:r>
    </w:p>
    <w:p w14:paraId="23408282" w14:textId="67114350" w:rsidR="00D161B4" w:rsidRPr="00A13709" w:rsidRDefault="00B35146" w:rsidP="00B35146">
      <w:pPr>
        <w:pStyle w:val="ListParagraph"/>
        <w:jc w:val="center"/>
        <w:rPr>
          <w:u w:val="single"/>
        </w:rPr>
      </w:pPr>
      <w:r w:rsidRPr="00C73090">
        <w:rPr>
          <w:noProof/>
          <w:lang w:val="ro-RO"/>
        </w:rPr>
        <w:drawing>
          <wp:inline distT="0" distB="0" distL="0" distR="0" wp14:anchorId="1C5034CC" wp14:editId="4C063CB1">
            <wp:extent cx="1424940" cy="350520"/>
            <wp:effectExtent l="0" t="0" r="3810" b="0"/>
            <wp:docPr id="1945920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350520"/>
                    </a:xfrm>
                    <a:prstGeom prst="rect">
                      <a:avLst/>
                    </a:prstGeom>
                    <a:noFill/>
                    <a:ln>
                      <a:noFill/>
                    </a:ln>
                  </pic:spPr>
                </pic:pic>
              </a:graphicData>
            </a:graphic>
          </wp:inline>
        </w:drawing>
      </w:r>
    </w:p>
    <w:p w14:paraId="7577F856" w14:textId="72BEAF1D" w:rsidR="00901A18" w:rsidRPr="00A13709" w:rsidRDefault="00816DCD" w:rsidP="00901A18">
      <w:pPr>
        <w:pStyle w:val="ListParagraph"/>
        <w:jc w:val="both"/>
        <w:rPr>
          <w:u w:val="single"/>
        </w:rPr>
      </w:pPr>
      <w:r>
        <w:rPr>
          <w:b/>
          <w:bCs/>
        </w:rPr>
        <w:t>MDGAS</w:t>
      </w:r>
      <w:r w:rsidR="002749EA" w:rsidRPr="00A13709">
        <w:rPr>
          <w:b/>
          <w:bCs/>
        </w:rPr>
        <w:t>_</w:t>
      </w:r>
      <w:r w:rsidR="00B35146">
        <w:rPr>
          <w:b/>
          <w:bCs/>
        </w:rPr>
        <w:t>OTC</w:t>
      </w:r>
      <w:r w:rsidR="00901A18" w:rsidRPr="00A13709">
        <w:rPr>
          <w:b/>
          <w:bCs/>
        </w:rPr>
        <w:t xml:space="preserve">: </w:t>
      </w:r>
      <w:r w:rsidR="00B35146" w:rsidRPr="00B35146">
        <w:t>is the price index calculated for all transactions concluded in the Natural Gas Ring within the bilateral contracts market (OTC) for a certain delivery period.</w:t>
      </w:r>
    </w:p>
    <w:p w14:paraId="09A82747" w14:textId="3AA307F0" w:rsidR="00D161B4" w:rsidRPr="00A13709" w:rsidRDefault="00B35146" w:rsidP="00B35146">
      <w:pPr>
        <w:pStyle w:val="ListParagraph"/>
        <w:jc w:val="center"/>
        <w:rPr>
          <w:u w:val="single"/>
        </w:rPr>
      </w:pPr>
      <w:r w:rsidRPr="00C73090">
        <w:rPr>
          <w:noProof/>
          <w:lang w:val="ro-RO"/>
        </w:rPr>
        <w:drawing>
          <wp:inline distT="0" distB="0" distL="0" distR="0" wp14:anchorId="1B7453A3" wp14:editId="58B958B3">
            <wp:extent cx="1569720" cy="297180"/>
            <wp:effectExtent l="0" t="0" r="0" b="7620"/>
            <wp:docPr id="18933011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297180"/>
                    </a:xfrm>
                    <a:prstGeom prst="rect">
                      <a:avLst/>
                    </a:prstGeom>
                    <a:noFill/>
                    <a:ln>
                      <a:noFill/>
                    </a:ln>
                  </pic:spPr>
                </pic:pic>
              </a:graphicData>
            </a:graphic>
          </wp:inline>
        </w:drawing>
      </w:r>
    </w:p>
    <w:p w14:paraId="18E63DC5" w14:textId="540DEE9C" w:rsidR="002749EA" w:rsidRPr="00A13709" w:rsidRDefault="002749EA" w:rsidP="00D31E25">
      <w:pPr>
        <w:pStyle w:val="ListParagraph"/>
        <w:jc w:val="both"/>
      </w:pPr>
    </w:p>
    <w:p w14:paraId="672E96E9" w14:textId="0F45BA6E" w:rsidR="001F49FC" w:rsidRPr="00A13709" w:rsidRDefault="00EB1765" w:rsidP="00D31E25">
      <w:pPr>
        <w:pStyle w:val="ListParagraph"/>
        <w:numPr>
          <w:ilvl w:val="0"/>
          <w:numId w:val="1"/>
        </w:numPr>
        <w:jc w:val="both"/>
        <w:rPr>
          <w:b/>
          <w:bCs/>
        </w:rPr>
      </w:pPr>
      <w:r w:rsidRPr="00A13709">
        <w:rPr>
          <w:b/>
        </w:rPr>
        <w:t>General principles for determining the index</w:t>
      </w:r>
      <w:r w:rsidR="001F49FC" w:rsidRPr="00A13709">
        <w:rPr>
          <w:b/>
          <w:bCs/>
        </w:rPr>
        <w:t>:</w:t>
      </w:r>
    </w:p>
    <w:p w14:paraId="6D5CC77C" w14:textId="28F358FC" w:rsidR="001F49FC" w:rsidRPr="00A13709" w:rsidRDefault="001F49FC" w:rsidP="00D31E25">
      <w:pPr>
        <w:pStyle w:val="ListParagraph"/>
        <w:jc w:val="both"/>
      </w:pPr>
    </w:p>
    <w:p w14:paraId="1AA98B0C" w14:textId="109E8C19" w:rsidR="002C0C1F" w:rsidRPr="00A13709" w:rsidRDefault="00EB1765" w:rsidP="00D31E25">
      <w:pPr>
        <w:pStyle w:val="ListParagraph"/>
        <w:jc w:val="both"/>
        <w:rPr>
          <w:b/>
          <w:bCs/>
        </w:rPr>
      </w:pPr>
      <w:r w:rsidRPr="00A13709">
        <w:rPr>
          <w:b/>
        </w:rPr>
        <w:t>Indices are calculated as weighted averages of transactions related to a delivery period that is the object of the respective transaction/transactions</w:t>
      </w:r>
      <w:r w:rsidR="00AF180D" w:rsidRPr="00A13709">
        <w:rPr>
          <w:b/>
          <w:bCs/>
        </w:rPr>
        <w:t>.</w:t>
      </w:r>
      <w:r w:rsidR="0084365C" w:rsidRPr="00A13709">
        <w:rPr>
          <w:b/>
          <w:bCs/>
        </w:rPr>
        <w:t xml:space="preserve"> </w:t>
      </w:r>
    </w:p>
    <w:p w14:paraId="30B1317E" w14:textId="31DB4B9D" w:rsidR="00D13F41" w:rsidRPr="00A13709" w:rsidRDefault="00D13F41" w:rsidP="00D31E25">
      <w:pPr>
        <w:pStyle w:val="ListParagraph"/>
        <w:jc w:val="both"/>
      </w:pPr>
    </w:p>
    <w:p w14:paraId="7EED403E" w14:textId="5827DB4D" w:rsidR="0084365C" w:rsidRPr="00A13709" w:rsidRDefault="00EB1765" w:rsidP="00D31E25">
      <w:pPr>
        <w:pStyle w:val="ListParagraph"/>
        <w:jc w:val="both"/>
      </w:pPr>
      <w:r w:rsidRPr="00A13709">
        <w:t>The general calculation formula is</w:t>
      </w:r>
      <w:r w:rsidR="009312EF" w:rsidRPr="00A13709">
        <w:t>:</w:t>
      </w:r>
    </w:p>
    <w:p w14:paraId="7EA48CE4" w14:textId="09BDFBB8" w:rsidR="009312EF" w:rsidRPr="00A13709" w:rsidRDefault="009312EF" w:rsidP="00D31E25">
      <w:pPr>
        <w:pStyle w:val="ListParagraph"/>
        <w:jc w:val="both"/>
      </w:pPr>
    </w:p>
    <w:p w14:paraId="586E831B" w14:textId="46CC2B4D" w:rsidR="009312EF" w:rsidRPr="00A13709" w:rsidRDefault="00816DCD" w:rsidP="00D31E25">
      <w:pPr>
        <w:pStyle w:val="ListParagraph"/>
        <w:jc w:val="both"/>
      </w:pPr>
      <w:r>
        <w:rPr>
          <w:b/>
          <w:bCs/>
        </w:rPr>
        <w:t>MDGAS</w:t>
      </w:r>
      <w:r w:rsidR="00C302ED" w:rsidRPr="00A13709">
        <w:rPr>
          <w:b/>
          <w:bCs/>
        </w:rPr>
        <w:t xml:space="preserve"> “</w:t>
      </w:r>
      <w:r w:rsidR="00FC7231" w:rsidRPr="00A13709">
        <w:rPr>
          <w:b/>
          <w:bCs/>
        </w:rPr>
        <w:t xml:space="preserve">_ </w:t>
      </w:r>
      <w:r w:rsidR="00C302ED" w:rsidRPr="00A13709">
        <w:rPr>
          <w:b/>
          <w:bCs/>
        </w:rPr>
        <w:t>…”</w:t>
      </w:r>
      <w:r w:rsidR="00262063" w:rsidRPr="00A13709">
        <w:t xml:space="preserve"> = </w:t>
      </w:r>
      <w:r w:rsidR="00A97FBA" w:rsidRPr="00A13709">
        <w:t>Sum (V</w:t>
      </w:r>
      <w:r w:rsidR="004C3B4C" w:rsidRPr="00A13709">
        <w:t>i</w:t>
      </w:r>
      <w:r w:rsidR="00850FF4" w:rsidRPr="00A13709">
        <w:t>*Pi)/Sum Vi</w:t>
      </w:r>
    </w:p>
    <w:p w14:paraId="2B1814F8" w14:textId="55E93486" w:rsidR="00C302ED" w:rsidRPr="00A13709" w:rsidRDefault="00C302ED" w:rsidP="00D31E25">
      <w:pPr>
        <w:pStyle w:val="ListParagraph"/>
        <w:jc w:val="both"/>
      </w:pPr>
    </w:p>
    <w:p w14:paraId="6E90EEFD" w14:textId="507A0DD8" w:rsidR="00C302ED" w:rsidRPr="00A13709" w:rsidRDefault="006A236D" w:rsidP="00D31E25">
      <w:pPr>
        <w:pStyle w:val="ListParagraph"/>
        <w:jc w:val="both"/>
      </w:pPr>
      <w:r w:rsidRPr="00A13709">
        <w:t>Where</w:t>
      </w:r>
      <w:r w:rsidR="00C302ED" w:rsidRPr="00A13709">
        <w:t>:</w:t>
      </w:r>
    </w:p>
    <w:p w14:paraId="48B64E4D" w14:textId="1B705966" w:rsidR="00C302ED" w:rsidRPr="00A13709" w:rsidRDefault="00816DCD" w:rsidP="00D31E25">
      <w:pPr>
        <w:pStyle w:val="ListParagraph"/>
        <w:jc w:val="both"/>
      </w:pPr>
      <w:r>
        <w:t>MDGAS</w:t>
      </w:r>
      <w:r w:rsidR="00C302ED" w:rsidRPr="00A13709">
        <w:t xml:space="preserve"> </w:t>
      </w:r>
      <w:r w:rsidR="00353369" w:rsidRPr="00A13709">
        <w:t xml:space="preserve">represents the family of indices calculated by the </w:t>
      </w:r>
      <w:r w:rsidR="00B35146">
        <w:t>BRM EST</w:t>
      </w:r>
      <w:r w:rsidR="00353369" w:rsidRPr="00A13709">
        <w:t xml:space="preserve"> </w:t>
      </w:r>
    </w:p>
    <w:p w14:paraId="222B430B" w14:textId="29478427" w:rsidR="00DB782C" w:rsidRPr="00A13709" w:rsidRDefault="00DB782C" w:rsidP="00D31E25">
      <w:pPr>
        <w:pStyle w:val="ListParagraph"/>
        <w:jc w:val="both"/>
      </w:pPr>
      <w:r w:rsidRPr="00A13709">
        <w:lastRenderedPageBreak/>
        <w:t>“_..”</w:t>
      </w:r>
      <w:r w:rsidR="00B6350B" w:rsidRPr="00A13709">
        <w:t xml:space="preserve">is </w:t>
      </w:r>
      <w:r w:rsidR="00353369" w:rsidRPr="00A13709">
        <w:t>the ending of the index with indications regarding the type of the delivery period</w:t>
      </w:r>
      <w:r w:rsidR="00262063" w:rsidRPr="00A13709">
        <w:t>.</w:t>
      </w:r>
    </w:p>
    <w:p w14:paraId="5221B1E4" w14:textId="0064C732" w:rsidR="00CF1A9F" w:rsidRPr="00A13709" w:rsidRDefault="00CC7640" w:rsidP="00D31E25">
      <w:pPr>
        <w:pStyle w:val="ListParagraph"/>
        <w:jc w:val="both"/>
        <w:rPr>
          <w:i/>
          <w:iCs/>
        </w:rPr>
      </w:pPr>
      <w:r w:rsidRPr="00A13709">
        <w:t xml:space="preserve">Vi = </w:t>
      </w:r>
      <w:r w:rsidR="00353369" w:rsidRPr="00A13709">
        <w:t xml:space="preserve">Transaction volume “i” expressed in </w:t>
      </w:r>
      <w:r w:rsidR="00CF1A9F" w:rsidRPr="00A13709">
        <w:t xml:space="preserve">MWh </w:t>
      </w:r>
    </w:p>
    <w:p w14:paraId="4B523623" w14:textId="54B149FA" w:rsidR="00CF1A9F" w:rsidRPr="00A13709" w:rsidRDefault="00CF1A9F" w:rsidP="00D31E25">
      <w:pPr>
        <w:pStyle w:val="ListParagraph"/>
        <w:jc w:val="both"/>
      </w:pPr>
      <w:r w:rsidRPr="00A13709">
        <w:t>Pi</w:t>
      </w:r>
      <w:r w:rsidR="00230D69" w:rsidRPr="00A13709">
        <w:t xml:space="preserve"> = </w:t>
      </w:r>
      <w:r w:rsidR="00353369" w:rsidRPr="00A13709">
        <w:t xml:space="preserve">Transaction price "i" expressed in </w:t>
      </w:r>
      <w:r w:rsidR="00816DCD">
        <w:t>MDL</w:t>
      </w:r>
      <w:r w:rsidR="00353369" w:rsidRPr="00A13709">
        <w:t xml:space="preserve">, EUR or US Dollar. The conversion into currencies </w:t>
      </w:r>
      <w:r w:rsidR="00353369" w:rsidRPr="00A13709">
        <w:rPr>
          <w:i/>
        </w:rPr>
        <w:t>(EUR or USD) is</w:t>
      </w:r>
      <w:r w:rsidR="00353369" w:rsidRPr="00A13709">
        <w:t xml:space="preserve"> made at the official exchange rates of the NBR published for the day of the transaction</w:t>
      </w:r>
      <w:r w:rsidR="00D666D8" w:rsidRPr="00A13709">
        <w:t>.</w:t>
      </w:r>
    </w:p>
    <w:p w14:paraId="70F54C69" w14:textId="0D814492" w:rsidR="00C941DF" w:rsidRPr="00A13709" w:rsidRDefault="00C941DF" w:rsidP="00D31E25">
      <w:pPr>
        <w:pStyle w:val="ListParagraph"/>
        <w:jc w:val="both"/>
      </w:pPr>
    </w:p>
    <w:p w14:paraId="33304239" w14:textId="77777777" w:rsidR="00C941DF" w:rsidRPr="00A13709" w:rsidRDefault="00C941DF" w:rsidP="00D31E25">
      <w:pPr>
        <w:pStyle w:val="ListParagraph"/>
        <w:jc w:val="both"/>
      </w:pPr>
    </w:p>
    <w:p w14:paraId="14F8A14C" w14:textId="2B49CFE2" w:rsidR="006A5E3C" w:rsidRPr="00A13709" w:rsidRDefault="006A5E3C" w:rsidP="00D31E25">
      <w:pPr>
        <w:pStyle w:val="ListParagraph"/>
        <w:jc w:val="both"/>
      </w:pPr>
    </w:p>
    <w:p w14:paraId="6ADFD2BD" w14:textId="275BBAF7" w:rsidR="001F49FC" w:rsidRPr="00A13709" w:rsidRDefault="00126653" w:rsidP="00D31E25">
      <w:pPr>
        <w:pStyle w:val="ListParagraph"/>
        <w:numPr>
          <w:ilvl w:val="0"/>
          <w:numId w:val="1"/>
        </w:numPr>
        <w:jc w:val="both"/>
        <w:rPr>
          <w:b/>
          <w:bCs/>
        </w:rPr>
      </w:pPr>
      <w:r w:rsidRPr="00A13709">
        <w:rPr>
          <w:b/>
        </w:rPr>
        <w:t>Indices calculation frequency and their publication</w:t>
      </w:r>
    </w:p>
    <w:p w14:paraId="22224646" w14:textId="009B94B4" w:rsidR="00D13F41" w:rsidRDefault="008A1F1E" w:rsidP="00D31E25">
      <w:pPr>
        <w:ind w:left="720"/>
        <w:jc w:val="both"/>
      </w:pPr>
      <w:r w:rsidRPr="00A13709">
        <w:t xml:space="preserve">The indices are calculated at the level of each trading day and are published by the </w:t>
      </w:r>
      <w:r w:rsidR="00B35146">
        <w:t>BRM EST</w:t>
      </w:r>
      <w:r w:rsidRPr="00A13709">
        <w:t xml:space="preserve"> on its own website</w:t>
      </w:r>
      <w:r w:rsidR="006C0376" w:rsidRPr="00A13709">
        <w:t>.</w:t>
      </w:r>
    </w:p>
    <w:p w14:paraId="5C7190C6" w14:textId="77777777" w:rsidR="006D5EA2" w:rsidRDefault="006D5EA2" w:rsidP="006D5EA2">
      <w:pPr>
        <w:ind w:left="720"/>
        <w:jc w:val="both"/>
      </w:pPr>
      <w:r>
        <w:t>The indices are calculated daily based on the prices of the current trading day.</w:t>
      </w:r>
    </w:p>
    <w:p w14:paraId="5A3E3128" w14:textId="0BCBEC07" w:rsidR="006D5EA2" w:rsidRPr="00A13709" w:rsidRDefault="006D5EA2" w:rsidP="006D5EA2">
      <w:pPr>
        <w:ind w:left="720"/>
        <w:jc w:val="both"/>
      </w:pPr>
      <w:r>
        <w:t>In case there are no transactions during the current trading day, then the indices value from the respective day is equal with the value of the indices of the last trading day in which transactions have been made.</w:t>
      </w:r>
    </w:p>
    <w:p w14:paraId="043EF1E7" w14:textId="0FCD2FC8" w:rsidR="00257E51" w:rsidRPr="00A13709" w:rsidRDefault="000065CE" w:rsidP="00D31E25">
      <w:pPr>
        <w:ind w:left="720"/>
        <w:jc w:val="both"/>
      </w:pPr>
      <w:r w:rsidRPr="00A13709">
        <w:t>The values of the indices can be taken over strictly with the express consent of the company, except for the cases provided by the national legislation</w:t>
      </w:r>
      <w:r w:rsidR="0043543A" w:rsidRPr="00A13709">
        <w:t>.</w:t>
      </w:r>
    </w:p>
    <w:p w14:paraId="47EC3055" w14:textId="44268A2E" w:rsidR="004E0497" w:rsidRPr="00A13709" w:rsidRDefault="004E0497" w:rsidP="00D31E25">
      <w:pPr>
        <w:ind w:left="720"/>
        <w:jc w:val="both"/>
      </w:pPr>
    </w:p>
    <w:p w14:paraId="55D80E83" w14:textId="09FC7638" w:rsidR="00D13F41" w:rsidRPr="00A13709" w:rsidRDefault="00113DC8" w:rsidP="00D31E25">
      <w:pPr>
        <w:pStyle w:val="ListParagraph"/>
        <w:numPr>
          <w:ilvl w:val="0"/>
          <w:numId w:val="1"/>
        </w:numPr>
        <w:jc w:val="both"/>
        <w:rPr>
          <w:b/>
          <w:bCs/>
          <w:color w:val="FF0000"/>
        </w:rPr>
      </w:pPr>
      <w:r w:rsidRPr="00A13709">
        <w:rPr>
          <w:b/>
        </w:rPr>
        <w:t>Specific calculation methodology for the</w:t>
      </w:r>
      <w:r w:rsidRPr="00A13709">
        <w:t xml:space="preserve"> </w:t>
      </w:r>
      <w:r w:rsidR="00816DCD">
        <w:rPr>
          <w:b/>
          <w:bCs/>
          <w:color w:val="FF0000"/>
        </w:rPr>
        <w:t>MDGAS</w:t>
      </w:r>
      <w:r w:rsidR="004E0497" w:rsidRPr="00A13709">
        <w:rPr>
          <w:b/>
          <w:bCs/>
          <w:color w:val="FF0000"/>
        </w:rPr>
        <w:t>_DA</w:t>
      </w:r>
      <w:r w:rsidRPr="00A13709">
        <w:rPr>
          <w:b/>
        </w:rPr>
        <w:t xml:space="preserve"> index</w:t>
      </w:r>
    </w:p>
    <w:p w14:paraId="17EB5ADE" w14:textId="2DA20577" w:rsidR="00164561" w:rsidRPr="00A13709" w:rsidRDefault="00FF66C0" w:rsidP="00D31E25">
      <w:pPr>
        <w:jc w:val="both"/>
      </w:pPr>
      <w:r w:rsidRPr="00A13709">
        <w:t>The calculation model is described for a certain trading day called the T-day</w:t>
      </w:r>
      <w:r w:rsidR="00164561" w:rsidRPr="00A13709">
        <w:t>.</w:t>
      </w:r>
    </w:p>
    <w:p w14:paraId="788A2D1E" w14:textId="1BDEA51B" w:rsidR="00B35544" w:rsidRPr="00A13709" w:rsidRDefault="005D3A3F" w:rsidP="00B35544">
      <w:pPr>
        <w:jc w:val="both"/>
      </w:pPr>
      <w:r w:rsidRPr="00A13709">
        <w:t xml:space="preserve">The physical delivery of natural gas, which is the object of a transaction concluded on gas day T on the </w:t>
      </w:r>
      <w:r w:rsidR="00B35146">
        <w:t>BRM EST</w:t>
      </w:r>
      <w:r w:rsidRPr="00A13709">
        <w:t xml:space="preserve"> platform, must be made on day T+1, the gas day immediately after, according to the applicable legislation in force</w:t>
      </w:r>
      <w:r w:rsidR="00B35544" w:rsidRPr="00A13709">
        <w:t>.</w:t>
      </w:r>
    </w:p>
    <w:p w14:paraId="5A36FD61" w14:textId="4852FBC3" w:rsidR="00287F86" w:rsidRPr="00A13709" w:rsidRDefault="005D3A3F" w:rsidP="00D31E25">
      <w:pPr>
        <w:jc w:val="both"/>
      </w:pPr>
      <w:r w:rsidRPr="00A13709">
        <w:t xml:space="preserve">The T and T + 1 gas days are consecutive calendar days, the trading being performed in daily trading sessions on the </w:t>
      </w:r>
      <w:r w:rsidR="00B35146">
        <w:t>BRM EST</w:t>
      </w:r>
      <w:r w:rsidRPr="00A13709">
        <w:t xml:space="preserve"> on term products market</w:t>
      </w:r>
      <w:r w:rsidR="00C6628B" w:rsidRPr="00A13709">
        <w:t>.</w:t>
      </w:r>
    </w:p>
    <w:p w14:paraId="60D94FA8" w14:textId="6904E80A" w:rsidR="00DA0603" w:rsidRPr="00A13709" w:rsidRDefault="00DA0603" w:rsidP="00D31E25">
      <w:pPr>
        <w:jc w:val="both"/>
      </w:pPr>
    </w:p>
    <w:p w14:paraId="707BA6DC" w14:textId="58B2DE28" w:rsidR="00B63A2B" w:rsidRPr="00A13709" w:rsidRDefault="00816DCD" w:rsidP="00D31E25">
      <w:pPr>
        <w:jc w:val="both"/>
        <w:rPr>
          <w:rFonts w:eastAsiaTheme="minorEastAsia"/>
          <w:b/>
          <w:bCs/>
        </w:rPr>
      </w:pPr>
      <w:r>
        <w:rPr>
          <w:b/>
          <w:bCs/>
          <w:color w:val="FF0000"/>
        </w:rPr>
        <w:t>MDGAS</w:t>
      </w:r>
      <w:r w:rsidR="004F3368" w:rsidRPr="00A13709">
        <w:rPr>
          <w:b/>
          <w:bCs/>
          <w:color w:val="FF0000"/>
        </w:rPr>
        <w:t>_DA</w:t>
      </w:r>
      <w:r w:rsidR="005D330C" w:rsidRPr="00A13709">
        <w:rPr>
          <w:b/>
          <w:bCs/>
          <w:color w:val="FF0000"/>
        </w:rPr>
        <w:t xml:space="preserve"> </w:t>
      </w:r>
      <w:r w:rsidR="00CA4990" w:rsidRPr="00A13709">
        <w:rPr>
          <w:b/>
          <w:bCs/>
          <w:i/>
          <w:iCs/>
          <w:color w:val="808080" w:themeColor="background1" w:themeShade="80"/>
        </w:rPr>
        <w:t>Z</w:t>
      </w:r>
      <w:r w:rsidR="00460D32" w:rsidRPr="00A13709">
        <w:rPr>
          <w:b/>
          <w:bCs/>
          <w:i/>
          <w:iCs/>
          <w:color w:val="808080" w:themeColor="background1" w:themeShade="80"/>
        </w:rPr>
        <w:t>Z/</w:t>
      </w:r>
      <w:r w:rsidR="00324F6B" w:rsidRPr="00A13709">
        <w:rPr>
          <w:b/>
          <w:bCs/>
          <w:i/>
          <w:iCs/>
          <w:color w:val="808080" w:themeColor="background1" w:themeShade="80"/>
        </w:rPr>
        <w:t>LL</w:t>
      </w:r>
      <w:r w:rsidR="00460D32" w:rsidRPr="00A13709">
        <w:rPr>
          <w:b/>
          <w:bCs/>
          <w:i/>
          <w:iCs/>
          <w:color w:val="808080" w:themeColor="background1" w:themeShade="80"/>
        </w:rPr>
        <w:t>/</w:t>
      </w:r>
      <w:r w:rsidR="00324F6B" w:rsidRPr="00A13709">
        <w:rPr>
          <w:b/>
          <w:bCs/>
          <w:i/>
          <w:iCs/>
          <w:color w:val="808080" w:themeColor="background1" w:themeShade="80"/>
        </w:rPr>
        <w:t>AAAA</w:t>
      </w:r>
      <w:r w:rsidR="00526276" w:rsidRPr="00A13709">
        <w:rPr>
          <w:b/>
          <w:bCs/>
        </w:rPr>
        <w:t xml:space="preserve">= </w:t>
      </w:r>
      <m:oMath>
        <m:f>
          <m:fPr>
            <m:ctrlPr>
              <w:rPr>
                <w:rFonts w:ascii="Cambria Math" w:hAnsi="Cambria Math" w:cstheme="minorHAnsi"/>
                <w:b/>
                <w:bCs/>
                <w:i/>
              </w:rPr>
            </m:ctrlPr>
          </m:fPr>
          <m:num>
            <m:nary>
              <m:naryPr>
                <m:chr m:val="∑"/>
                <m:limLoc m:val="undOvr"/>
                <m:ctrlPr>
                  <w:rPr>
                    <w:rFonts w:ascii="Cambria Math" w:hAnsi="Cambria Math" w:cstheme="minorHAnsi"/>
                    <w:b/>
                    <w:bCs/>
                    <w:i/>
                  </w:rPr>
                </m:ctrlPr>
              </m:naryPr>
              <m:sub>
                <m:r>
                  <m:rPr>
                    <m:sty m:val="bi"/>
                  </m:rPr>
                  <w:rPr>
                    <w:rFonts w:ascii="Cambria Math" w:hAnsi="Cambria Math" w:cstheme="minorHAnsi"/>
                  </w:rPr>
                  <m:t>i=0</m:t>
                </m:r>
              </m:sub>
              <m:sup>
                <m:r>
                  <m:rPr>
                    <m:sty m:val="bi"/>
                  </m:rPr>
                  <w:rPr>
                    <w:rFonts w:ascii="Cambria Math" w:hAnsi="Cambria Math" w:cstheme="minorHAnsi"/>
                  </w:rPr>
                  <m:t>n</m:t>
                </m:r>
              </m:sup>
              <m:e>
                <m:r>
                  <m:rPr>
                    <m:sty m:val="bi"/>
                  </m:rPr>
                  <w:rPr>
                    <w:rFonts w:ascii="Cambria Math" w:hAnsi="Cambria Math" w:cstheme="minorHAnsi"/>
                  </w:rPr>
                  <m:t>Pi*Ci</m:t>
                </m:r>
              </m:e>
            </m:nary>
          </m:num>
          <m:den>
            <m:nary>
              <m:naryPr>
                <m:chr m:val="∑"/>
                <m:limLoc m:val="undOvr"/>
                <m:ctrlPr>
                  <w:rPr>
                    <w:rFonts w:ascii="Cambria Math" w:hAnsi="Cambria Math" w:cstheme="minorHAnsi"/>
                    <w:b/>
                    <w:bCs/>
                    <w:i/>
                  </w:rPr>
                </m:ctrlPr>
              </m:naryPr>
              <m:sub>
                <m:r>
                  <m:rPr>
                    <m:sty m:val="bi"/>
                  </m:rPr>
                  <w:rPr>
                    <w:rFonts w:ascii="Cambria Math" w:hAnsi="Cambria Math" w:cstheme="minorHAnsi"/>
                  </w:rPr>
                  <m:t>i=0</m:t>
                </m:r>
              </m:sub>
              <m:sup>
                <m:r>
                  <m:rPr>
                    <m:sty m:val="bi"/>
                  </m:rPr>
                  <w:rPr>
                    <w:rFonts w:ascii="Cambria Math" w:hAnsi="Cambria Math" w:cstheme="minorHAnsi"/>
                  </w:rPr>
                  <m:t>n</m:t>
                </m:r>
              </m:sup>
              <m:e>
                <m:r>
                  <m:rPr>
                    <m:sty m:val="bi"/>
                  </m:rPr>
                  <w:rPr>
                    <w:rFonts w:ascii="Cambria Math" w:hAnsi="Cambria Math" w:cstheme="minorHAnsi"/>
                  </w:rPr>
                  <m:t>Ci</m:t>
                </m:r>
              </m:e>
            </m:nary>
          </m:den>
        </m:f>
      </m:oMath>
      <w:r w:rsidR="00425F16" w:rsidRPr="00A13709">
        <w:rPr>
          <w:rFonts w:eastAsiaTheme="minorEastAsia"/>
          <w:b/>
          <w:bCs/>
        </w:rPr>
        <w:t>,</w:t>
      </w:r>
    </w:p>
    <w:p w14:paraId="1CE625EE" w14:textId="462BE941" w:rsidR="00425F16" w:rsidRPr="00A13709" w:rsidRDefault="005D3A3F" w:rsidP="00D31E25">
      <w:pPr>
        <w:jc w:val="both"/>
        <w:rPr>
          <w:rFonts w:eastAsiaTheme="minorEastAsia"/>
          <w:b/>
          <w:bCs/>
        </w:rPr>
      </w:pPr>
      <w:r w:rsidRPr="00A13709">
        <w:rPr>
          <w:b/>
        </w:rPr>
        <w:t>Where</w:t>
      </w:r>
      <w:r w:rsidR="00425F16" w:rsidRPr="00A13709">
        <w:rPr>
          <w:rFonts w:eastAsiaTheme="minorEastAsia"/>
          <w:b/>
          <w:bCs/>
        </w:rPr>
        <w:t>:</w:t>
      </w:r>
    </w:p>
    <w:p w14:paraId="6D09315C" w14:textId="13621CC7" w:rsidR="00425F16" w:rsidRPr="00A13709" w:rsidRDefault="0076748E" w:rsidP="00D31E25">
      <w:pPr>
        <w:jc w:val="both"/>
      </w:pPr>
      <w:r w:rsidRPr="00A13709">
        <w:rPr>
          <w:b/>
          <w:bCs/>
        </w:rPr>
        <w:t>“</w:t>
      </w:r>
      <w:r w:rsidR="00816DCD">
        <w:rPr>
          <w:b/>
          <w:bCs/>
        </w:rPr>
        <w:t>MDGAS</w:t>
      </w:r>
      <w:r w:rsidR="00DF6A51" w:rsidRPr="00A13709">
        <w:rPr>
          <w:b/>
          <w:bCs/>
        </w:rPr>
        <w:t>_DA</w:t>
      </w:r>
      <w:r w:rsidRPr="00A13709">
        <w:rPr>
          <w:b/>
          <w:bCs/>
        </w:rPr>
        <w:t>”</w:t>
      </w:r>
      <w:r w:rsidR="00DF6A51" w:rsidRPr="00A13709">
        <w:rPr>
          <w:b/>
          <w:bCs/>
        </w:rPr>
        <w:t xml:space="preserve"> </w:t>
      </w:r>
      <w:r w:rsidR="005D3A3F" w:rsidRPr="00A13709">
        <w:t xml:space="preserve">is the market segment identifier for the </w:t>
      </w:r>
      <w:r w:rsidR="00F13817" w:rsidRPr="00A13709">
        <w:t>day ahead</w:t>
      </w:r>
      <w:r w:rsidR="005D3A3F" w:rsidRPr="00A13709">
        <w:t xml:space="preserve"> gas delivery </w:t>
      </w:r>
    </w:p>
    <w:p w14:paraId="44349948" w14:textId="35FDB6B6" w:rsidR="00DF6A51" w:rsidRPr="00A13709" w:rsidRDefault="0076748E" w:rsidP="00D31E25">
      <w:pPr>
        <w:jc w:val="both"/>
      </w:pPr>
      <w:r w:rsidRPr="00A13709">
        <w:rPr>
          <w:b/>
          <w:bCs/>
          <w:i/>
          <w:iCs/>
        </w:rPr>
        <w:t>“</w:t>
      </w:r>
      <w:r w:rsidR="00DF6A51" w:rsidRPr="00A13709">
        <w:rPr>
          <w:b/>
          <w:bCs/>
          <w:i/>
          <w:iCs/>
        </w:rPr>
        <w:t>ZZ</w:t>
      </w:r>
      <w:r w:rsidR="005D330C" w:rsidRPr="00A13709">
        <w:rPr>
          <w:b/>
          <w:bCs/>
          <w:i/>
          <w:iCs/>
        </w:rPr>
        <w:t>/</w:t>
      </w:r>
      <w:r w:rsidR="00DF6A51" w:rsidRPr="00A13709">
        <w:rPr>
          <w:b/>
          <w:bCs/>
          <w:i/>
          <w:iCs/>
        </w:rPr>
        <w:t>LL</w:t>
      </w:r>
      <w:r w:rsidR="005D330C" w:rsidRPr="00A13709">
        <w:rPr>
          <w:b/>
          <w:bCs/>
          <w:i/>
          <w:iCs/>
        </w:rPr>
        <w:t>/</w:t>
      </w:r>
      <w:r w:rsidR="00DF6A51" w:rsidRPr="00A13709">
        <w:rPr>
          <w:b/>
          <w:bCs/>
          <w:i/>
          <w:iCs/>
        </w:rPr>
        <w:t>AAAA</w:t>
      </w:r>
      <w:r w:rsidRPr="00A13709">
        <w:rPr>
          <w:b/>
          <w:bCs/>
          <w:i/>
          <w:iCs/>
        </w:rPr>
        <w:t>”</w:t>
      </w:r>
      <w:r w:rsidR="00DF6A51" w:rsidRPr="00A13709">
        <w:rPr>
          <w:b/>
          <w:bCs/>
          <w:i/>
          <w:iCs/>
        </w:rPr>
        <w:t xml:space="preserve"> </w:t>
      </w:r>
      <w:r w:rsidR="00B6350B" w:rsidRPr="00A13709">
        <w:t xml:space="preserve">is </w:t>
      </w:r>
      <w:r w:rsidR="005D3A3F" w:rsidRPr="00A13709">
        <w:t xml:space="preserve">the gas delivery day </w:t>
      </w:r>
      <w:r w:rsidR="0012310D" w:rsidRPr="00A13709">
        <w:t>(T+1)</w:t>
      </w:r>
    </w:p>
    <w:p w14:paraId="62DEE62F" w14:textId="1119A576" w:rsidR="002F6EAB" w:rsidRPr="00A13709" w:rsidRDefault="0076748E" w:rsidP="00D31E25">
      <w:pPr>
        <w:jc w:val="both"/>
      </w:pPr>
      <w:r w:rsidRPr="00A13709">
        <w:rPr>
          <w:b/>
          <w:bCs/>
        </w:rPr>
        <w:t>“</w:t>
      </w:r>
      <w:r w:rsidR="00F401DE" w:rsidRPr="00A13709">
        <w:rPr>
          <w:b/>
          <w:bCs/>
        </w:rPr>
        <w:t>Pi</w:t>
      </w:r>
      <w:r w:rsidRPr="00A13709">
        <w:rPr>
          <w:b/>
          <w:bCs/>
        </w:rPr>
        <w:t>”</w:t>
      </w:r>
      <w:r w:rsidR="00F401DE" w:rsidRPr="00A13709">
        <w:t xml:space="preserve"> </w:t>
      </w:r>
      <w:r w:rsidR="005D3A3F" w:rsidRPr="00A13709">
        <w:t>is the price of a single transaction</w:t>
      </w:r>
    </w:p>
    <w:p w14:paraId="2C1DBB1F" w14:textId="48C21BD5" w:rsidR="005246A7" w:rsidRPr="00A13709" w:rsidRDefault="0076748E" w:rsidP="00D31E25">
      <w:pPr>
        <w:jc w:val="both"/>
      </w:pPr>
      <w:r w:rsidRPr="00A13709">
        <w:rPr>
          <w:b/>
          <w:bCs/>
        </w:rPr>
        <w:t>“</w:t>
      </w:r>
      <w:r w:rsidR="00527D42" w:rsidRPr="00A13709">
        <w:rPr>
          <w:b/>
          <w:bCs/>
        </w:rPr>
        <w:t>C</w:t>
      </w:r>
      <w:r w:rsidR="005246A7" w:rsidRPr="00A13709">
        <w:rPr>
          <w:b/>
          <w:bCs/>
        </w:rPr>
        <w:t>i</w:t>
      </w:r>
      <w:r w:rsidRPr="00A13709">
        <w:rPr>
          <w:b/>
          <w:bCs/>
        </w:rPr>
        <w:t>”</w:t>
      </w:r>
      <w:r w:rsidR="005246A7" w:rsidRPr="00A13709">
        <w:t xml:space="preserve"> </w:t>
      </w:r>
      <w:r w:rsidR="00B6350B" w:rsidRPr="00A13709">
        <w:t xml:space="preserve">is </w:t>
      </w:r>
      <w:r w:rsidR="005D3A3F" w:rsidRPr="00A13709">
        <w:t>the quantity expressed in number of MWh, related to the single transaction</w:t>
      </w:r>
      <w:r w:rsidR="005246A7" w:rsidRPr="00A13709">
        <w:t xml:space="preserve"> </w:t>
      </w:r>
    </w:p>
    <w:p w14:paraId="610CAAAB" w14:textId="5F050840" w:rsidR="006D7E8B" w:rsidRPr="00A13709" w:rsidRDefault="00BC022B" w:rsidP="00D31E25">
      <w:pPr>
        <w:jc w:val="both"/>
      </w:pPr>
      <w:r w:rsidRPr="00A13709">
        <w:rPr>
          <w:b/>
          <w:bCs/>
        </w:rPr>
        <w:t>“</w:t>
      </w:r>
      <w:r w:rsidR="00B45B2D" w:rsidRPr="00A13709">
        <w:rPr>
          <w:b/>
          <w:bCs/>
        </w:rPr>
        <w:t>n</w:t>
      </w:r>
      <w:r w:rsidRPr="00A13709">
        <w:rPr>
          <w:b/>
          <w:bCs/>
        </w:rPr>
        <w:t>”</w:t>
      </w:r>
      <w:r w:rsidR="00B45B2D" w:rsidRPr="00A13709">
        <w:t xml:space="preserve"> </w:t>
      </w:r>
      <w:r w:rsidR="00B6350B" w:rsidRPr="00A13709">
        <w:t xml:space="preserve">is </w:t>
      </w:r>
      <w:r w:rsidR="005D3A3F" w:rsidRPr="00A13709">
        <w:t xml:space="preserve">the total number of transactions concluded on the market segment for the </w:t>
      </w:r>
      <w:r w:rsidR="00F13817" w:rsidRPr="00A13709">
        <w:t>day ahead</w:t>
      </w:r>
      <w:r w:rsidR="005D3A3F" w:rsidRPr="00A13709">
        <w:t xml:space="preserve"> gas delivery </w:t>
      </w:r>
    </w:p>
    <w:p w14:paraId="0C1A9CEB" w14:textId="09358606" w:rsidR="0076748E" w:rsidRPr="00A13709" w:rsidRDefault="00BC022B" w:rsidP="00D31E25">
      <w:pPr>
        <w:jc w:val="both"/>
      </w:pPr>
      <w:r w:rsidRPr="00A13709">
        <w:rPr>
          <w:b/>
          <w:bCs/>
        </w:rPr>
        <w:t>“i”</w:t>
      </w:r>
      <w:r w:rsidR="00D115CF" w:rsidRPr="00A13709">
        <w:t xml:space="preserve"> </w:t>
      </w:r>
      <w:r w:rsidR="005D3A3F" w:rsidRPr="00A13709">
        <w:t xml:space="preserve">identifies the transaction recorded in the </w:t>
      </w:r>
      <w:r w:rsidR="00B35146">
        <w:t>BRM EST</w:t>
      </w:r>
      <w:r w:rsidR="005D3A3F" w:rsidRPr="00A13709">
        <w:t xml:space="preserve"> trading system for the market segment for the </w:t>
      </w:r>
      <w:r w:rsidR="00F13817" w:rsidRPr="00A13709">
        <w:t>day ahead</w:t>
      </w:r>
      <w:r w:rsidR="005D3A3F" w:rsidRPr="00A13709">
        <w:t xml:space="preserve"> </w:t>
      </w:r>
    </w:p>
    <w:p w14:paraId="489C1DE9" w14:textId="68CA3C9B" w:rsidR="00E451B3" w:rsidRPr="00A13709" w:rsidRDefault="00E451B3" w:rsidP="00E451B3">
      <w:pPr>
        <w:jc w:val="both"/>
      </w:pPr>
      <w:r w:rsidRPr="00A13709">
        <w:t>“</w:t>
      </w:r>
      <w:r w:rsidRPr="00A13709">
        <w:rPr>
          <w:b/>
          <w:bCs/>
        </w:rPr>
        <w:t>DA</w:t>
      </w:r>
      <w:r w:rsidRPr="00A13709">
        <w:t xml:space="preserve">” – </w:t>
      </w:r>
      <w:r w:rsidR="00B35146">
        <w:t>acronym</w:t>
      </w:r>
      <w:r w:rsidR="005D3A3F" w:rsidRPr="00A13709">
        <w:t xml:space="preserve"> for the day ahead</w:t>
      </w:r>
    </w:p>
    <w:p w14:paraId="584ACCB5" w14:textId="2A5F4B9D" w:rsidR="00E451B3" w:rsidRPr="00A13709" w:rsidRDefault="00E451B3" w:rsidP="00D31E25">
      <w:pPr>
        <w:jc w:val="both"/>
      </w:pPr>
    </w:p>
    <w:p w14:paraId="24E49E87" w14:textId="48A75C23" w:rsidR="00A51955" w:rsidRPr="00A13709" w:rsidRDefault="00A51955" w:rsidP="00D31E25">
      <w:pPr>
        <w:jc w:val="both"/>
      </w:pPr>
    </w:p>
    <w:p w14:paraId="6E9A4030" w14:textId="5730A028" w:rsidR="00EA6B69" w:rsidRPr="00A13709" w:rsidRDefault="005D3A3F" w:rsidP="00EA6B69">
      <w:pPr>
        <w:pStyle w:val="ListParagraph"/>
        <w:numPr>
          <w:ilvl w:val="0"/>
          <w:numId w:val="1"/>
        </w:numPr>
        <w:jc w:val="both"/>
        <w:rPr>
          <w:b/>
          <w:bCs/>
          <w:color w:val="FF0000"/>
        </w:rPr>
      </w:pPr>
      <w:r w:rsidRPr="00A13709">
        <w:rPr>
          <w:b/>
        </w:rPr>
        <w:t>Specific calculation methodology for the</w:t>
      </w:r>
      <w:r w:rsidRPr="00A13709">
        <w:t xml:space="preserve"> </w:t>
      </w:r>
      <w:r w:rsidR="00816DCD">
        <w:rPr>
          <w:b/>
          <w:bCs/>
          <w:color w:val="FF0000"/>
        </w:rPr>
        <w:t>MDGAS</w:t>
      </w:r>
      <w:r w:rsidR="00EA6B69" w:rsidRPr="00A13709">
        <w:rPr>
          <w:b/>
          <w:bCs/>
          <w:color w:val="FF0000"/>
        </w:rPr>
        <w:t>_WD</w:t>
      </w:r>
      <w:r w:rsidRPr="00A13709">
        <w:rPr>
          <w:b/>
          <w:bCs/>
          <w:color w:val="FF0000"/>
        </w:rPr>
        <w:t xml:space="preserve"> </w:t>
      </w:r>
      <w:r w:rsidRPr="00A13709">
        <w:rPr>
          <w:b/>
        </w:rPr>
        <w:t>index</w:t>
      </w:r>
    </w:p>
    <w:p w14:paraId="2E9D76BC" w14:textId="45C1D769" w:rsidR="00EA6B69" w:rsidRPr="00A13709" w:rsidRDefault="00B6350B" w:rsidP="00EA6B69">
      <w:pPr>
        <w:jc w:val="both"/>
      </w:pPr>
      <w:r w:rsidRPr="00A13709">
        <w:t xml:space="preserve">The calculation model is described for a certain trading day called the gas day </w:t>
      </w:r>
      <w:r w:rsidR="00EA6B69" w:rsidRPr="00A13709">
        <w:t>T.</w:t>
      </w:r>
    </w:p>
    <w:p w14:paraId="69E0E987" w14:textId="2F336D83" w:rsidR="00EA6B69" w:rsidRPr="00A13709" w:rsidRDefault="00B6350B" w:rsidP="00EA6B69">
      <w:pPr>
        <w:jc w:val="both"/>
      </w:pPr>
      <w:r w:rsidRPr="00A13709">
        <w:t xml:space="preserve">The physical delivery of natural gas, which is the object of a transaction concluded on gas day T on the </w:t>
      </w:r>
      <w:r w:rsidR="00B35146">
        <w:t>BRM EST</w:t>
      </w:r>
      <w:r w:rsidRPr="00A13709">
        <w:t xml:space="preserve"> platform must also be made on day T, the same gas day according to the applicable legislation in force</w:t>
      </w:r>
      <w:r w:rsidR="00EA6B69" w:rsidRPr="00A13709">
        <w:t>.</w:t>
      </w:r>
    </w:p>
    <w:p w14:paraId="746BDB13" w14:textId="1DE242AC" w:rsidR="00EA6B69" w:rsidRPr="00A13709" w:rsidRDefault="00B6350B" w:rsidP="00EA6B69">
      <w:pPr>
        <w:jc w:val="both"/>
      </w:pPr>
      <w:r w:rsidRPr="00A13709">
        <w:t>Day T is identified in the index by the time stamp on the day, month and year coordinates</w:t>
      </w:r>
      <w:r w:rsidR="008827FF" w:rsidRPr="00A13709">
        <w:t>.</w:t>
      </w:r>
    </w:p>
    <w:p w14:paraId="341C96F5" w14:textId="77777777" w:rsidR="00EA6B69" w:rsidRPr="00A13709" w:rsidRDefault="00EA6B69" w:rsidP="00EA6B69">
      <w:pPr>
        <w:jc w:val="both"/>
      </w:pPr>
    </w:p>
    <w:p w14:paraId="47D816B6" w14:textId="786B0504" w:rsidR="00EA6B69" w:rsidRPr="00A13709" w:rsidRDefault="00816DCD" w:rsidP="00EA6B69">
      <w:pPr>
        <w:jc w:val="both"/>
        <w:rPr>
          <w:rFonts w:eastAsiaTheme="minorEastAsia"/>
          <w:b/>
          <w:bCs/>
        </w:rPr>
      </w:pPr>
      <w:r>
        <w:rPr>
          <w:b/>
          <w:bCs/>
          <w:color w:val="FF0000"/>
        </w:rPr>
        <w:t>MDGAS</w:t>
      </w:r>
      <w:r w:rsidR="00EA6B69" w:rsidRPr="00A13709">
        <w:rPr>
          <w:b/>
          <w:bCs/>
          <w:color w:val="FF0000"/>
        </w:rPr>
        <w:t>_</w:t>
      </w:r>
      <w:r w:rsidR="00CA0F63" w:rsidRPr="00A13709">
        <w:rPr>
          <w:b/>
          <w:bCs/>
          <w:color w:val="FF0000"/>
        </w:rPr>
        <w:t>WD</w:t>
      </w:r>
      <w:r w:rsidR="0041531C" w:rsidRPr="00A13709">
        <w:rPr>
          <w:b/>
          <w:bCs/>
          <w:i/>
          <w:iCs/>
          <w:color w:val="808080" w:themeColor="background1" w:themeShade="80"/>
        </w:rPr>
        <w:t xml:space="preserve"> </w:t>
      </w:r>
      <w:r w:rsidR="00EA6B69" w:rsidRPr="00A13709">
        <w:rPr>
          <w:b/>
          <w:bCs/>
          <w:i/>
          <w:iCs/>
          <w:color w:val="808080" w:themeColor="background1" w:themeShade="80"/>
        </w:rPr>
        <w:t>ZZ</w:t>
      </w:r>
      <w:r w:rsidR="0041531C" w:rsidRPr="00A13709">
        <w:rPr>
          <w:b/>
          <w:bCs/>
          <w:i/>
          <w:iCs/>
          <w:color w:val="808080" w:themeColor="background1" w:themeShade="80"/>
        </w:rPr>
        <w:t>/</w:t>
      </w:r>
      <w:r w:rsidR="00EA6B69" w:rsidRPr="00A13709">
        <w:rPr>
          <w:b/>
          <w:bCs/>
          <w:i/>
          <w:iCs/>
          <w:color w:val="808080" w:themeColor="background1" w:themeShade="80"/>
        </w:rPr>
        <w:t>LL</w:t>
      </w:r>
      <w:r w:rsidR="0041531C" w:rsidRPr="00A13709">
        <w:rPr>
          <w:b/>
          <w:bCs/>
          <w:i/>
          <w:iCs/>
          <w:color w:val="808080" w:themeColor="background1" w:themeShade="80"/>
        </w:rPr>
        <w:t>/</w:t>
      </w:r>
      <w:r w:rsidR="00EA6B69" w:rsidRPr="00A13709">
        <w:rPr>
          <w:b/>
          <w:bCs/>
          <w:i/>
          <w:iCs/>
          <w:color w:val="808080" w:themeColor="background1" w:themeShade="80"/>
        </w:rPr>
        <w:t>AAAA</w:t>
      </w:r>
      <w:r w:rsidR="00EA6B69" w:rsidRPr="00A13709">
        <w:rPr>
          <w:b/>
          <w:bCs/>
        </w:rPr>
        <w:t xml:space="preserve">= </w:t>
      </w:r>
      <m:oMath>
        <m:f>
          <m:fPr>
            <m:ctrlPr>
              <w:rPr>
                <w:rFonts w:ascii="Cambria Math" w:hAnsi="Cambria Math" w:cstheme="minorHAnsi"/>
                <w:b/>
                <w:bCs/>
                <w:i/>
              </w:rPr>
            </m:ctrlPr>
          </m:fPr>
          <m:num>
            <m:nary>
              <m:naryPr>
                <m:chr m:val="∑"/>
                <m:limLoc m:val="undOvr"/>
                <m:ctrlPr>
                  <w:rPr>
                    <w:rFonts w:ascii="Cambria Math" w:hAnsi="Cambria Math" w:cstheme="minorHAnsi"/>
                    <w:b/>
                    <w:bCs/>
                    <w:i/>
                  </w:rPr>
                </m:ctrlPr>
              </m:naryPr>
              <m:sub>
                <m:r>
                  <m:rPr>
                    <m:sty m:val="bi"/>
                  </m:rPr>
                  <w:rPr>
                    <w:rFonts w:ascii="Cambria Math" w:hAnsi="Cambria Math" w:cstheme="minorHAnsi"/>
                  </w:rPr>
                  <m:t>i=0</m:t>
                </m:r>
              </m:sub>
              <m:sup>
                <m:r>
                  <m:rPr>
                    <m:sty m:val="bi"/>
                  </m:rPr>
                  <w:rPr>
                    <w:rFonts w:ascii="Cambria Math" w:hAnsi="Cambria Math" w:cstheme="minorHAnsi"/>
                  </w:rPr>
                  <m:t>n</m:t>
                </m:r>
              </m:sup>
              <m:e>
                <m:r>
                  <m:rPr>
                    <m:sty m:val="bi"/>
                  </m:rPr>
                  <w:rPr>
                    <w:rFonts w:ascii="Cambria Math" w:hAnsi="Cambria Math" w:cstheme="minorHAnsi"/>
                  </w:rPr>
                  <m:t>Pi*Ci</m:t>
                </m:r>
              </m:e>
            </m:nary>
          </m:num>
          <m:den>
            <m:nary>
              <m:naryPr>
                <m:chr m:val="∑"/>
                <m:limLoc m:val="undOvr"/>
                <m:ctrlPr>
                  <w:rPr>
                    <w:rFonts w:ascii="Cambria Math" w:hAnsi="Cambria Math" w:cstheme="minorHAnsi"/>
                    <w:b/>
                    <w:bCs/>
                    <w:i/>
                  </w:rPr>
                </m:ctrlPr>
              </m:naryPr>
              <m:sub>
                <m:r>
                  <m:rPr>
                    <m:sty m:val="bi"/>
                  </m:rPr>
                  <w:rPr>
                    <w:rFonts w:ascii="Cambria Math" w:hAnsi="Cambria Math" w:cstheme="minorHAnsi"/>
                  </w:rPr>
                  <m:t>i=0</m:t>
                </m:r>
              </m:sub>
              <m:sup>
                <m:r>
                  <m:rPr>
                    <m:sty m:val="bi"/>
                  </m:rPr>
                  <w:rPr>
                    <w:rFonts w:ascii="Cambria Math" w:hAnsi="Cambria Math" w:cstheme="minorHAnsi"/>
                  </w:rPr>
                  <m:t>n</m:t>
                </m:r>
              </m:sup>
              <m:e>
                <m:r>
                  <m:rPr>
                    <m:sty m:val="bi"/>
                  </m:rPr>
                  <w:rPr>
                    <w:rFonts w:ascii="Cambria Math" w:hAnsi="Cambria Math" w:cstheme="minorHAnsi"/>
                  </w:rPr>
                  <m:t>Ci</m:t>
                </m:r>
              </m:e>
            </m:nary>
          </m:den>
        </m:f>
      </m:oMath>
      <w:r w:rsidR="00EA6B69" w:rsidRPr="00A13709">
        <w:rPr>
          <w:rFonts w:eastAsiaTheme="minorEastAsia"/>
          <w:b/>
          <w:bCs/>
        </w:rPr>
        <w:t>,</w:t>
      </w:r>
    </w:p>
    <w:p w14:paraId="47EC1890" w14:textId="30205BA9" w:rsidR="00EA6B69" w:rsidRPr="00A13709" w:rsidRDefault="00B6350B" w:rsidP="00EA6B69">
      <w:pPr>
        <w:jc w:val="both"/>
        <w:rPr>
          <w:rFonts w:eastAsiaTheme="minorEastAsia"/>
          <w:b/>
          <w:bCs/>
        </w:rPr>
      </w:pPr>
      <w:r w:rsidRPr="00A13709">
        <w:rPr>
          <w:b/>
        </w:rPr>
        <w:t>Where</w:t>
      </w:r>
      <w:r w:rsidR="00EA6B69" w:rsidRPr="00A13709">
        <w:rPr>
          <w:rFonts w:eastAsiaTheme="minorEastAsia"/>
          <w:b/>
          <w:bCs/>
        </w:rPr>
        <w:t>:</w:t>
      </w:r>
    </w:p>
    <w:p w14:paraId="47771AFD" w14:textId="3DA6FF3A" w:rsidR="00EA6B69" w:rsidRPr="00A13709" w:rsidRDefault="00EA6B69" w:rsidP="00EA6B69">
      <w:pPr>
        <w:jc w:val="both"/>
      </w:pPr>
      <w:r w:rsidRPr="00A13709">
        <w:rPr>
          <w:b/>
          <w:bCs/>
        </w:rPr>
        <w:t>“</w:t>
      </w:r>
      <w:r w:rsidR="00816DCD">
        <w:rPr>
          <w:b/>
          <w:bCs/>
        </w:rPr>
        <w:t>MDGAS</w:t>
      </w:r>
      <w:r w:rsidRPr="00A13709">
        <w:rPr>
          <w:b/>
          <w:bCs/>
        </w:rPr>
        <w:t>_</w:t>
      </w:r>
      <w:r w:rsidR="00CA0F63" w:rsidRPr="00A13709">
        <w:rPr>
          <w:b/>
          <w:bCs/>
        </w:rPr>
        <w:t>WD</w:t>
      </w:r>
      <w:r w:rsidRPr="00A13709">
        <w:rPr>
          <w:b/>
          <w:bCs/>
        </w:rPr>
        <w:t xml:space="preserve">” </w:t>
      </w:r>
      <w:r w:rsidR="00B6350B" w:rsidRPr="00A13709">
        <w:t>is the market segment identifier for the current delivery gas day</w:t>
      </w:r>
    </w:p>
    <w:p w14:paraId="35203862" w14:textId="026DE239" w:rsidR="000F62F2" w:rsidRPr="00A13709" w:rsidRDefault="00EA6B69" w:rsidP="00EA6B69">
      <w:pPr>
        <w:jc w:val="both"/>
        <w:rPr>
          <w:b/>
          <w:bCs/>
        </w:rPr>
      </w:pPr>
      <w:r w:rsidRPr="00A13709">
        <w:rPr>
          <w:b/>
          <w:bCs/>
          <w:i/>
          <w:iCs/>
        </w:rPr>
        <w:t>“ZZ</w:t>
      </w:r>
      <w:r w:rsidR="008241C3" w:rsidRPr="00A13709">
        <w:rPr>
          <w:b/>
          <w:bCs/>
          <w:i/>
          <w:iCs/>
        </w:rPr>
        <w:t>/</w:t>
      </w:r>
      <w:r w:rsidRPr="00A13709">
        <w:rPr>
          <w:b/>
          <w:bCs/>
          <w:i/>
          <w:iCs/>
        </w:rPr>
        <w:t>LL</w:t>
      </w:r>
      <w:r w:rsidR="008241C3" w:rsidRPr="00A13709">
        <w:rPr>
          <w:b/>
          <w:bCs/>
          <w:i/>
          <w:iCs/>
        </w:rPr>
        <w:t>/</w:t>
      </w:r>
      <w:r w:rsidRPr="00A13709">
        <w:rPr>
          <w:b/>
          <w:bCs/>
          <w:i/>
          <w:iCs/>
        </w:rPr>
        <w:t xml:space="preserve">AAAA” </w:t>
      </w:r>
      <w:r w:rsidR="00B6350B" w:rsidRPr="00A13709">
        <w:t xml:space="preserve">is the delivery gas day </w:t>
      </w:r>
      <w:r w:rsidR="007D23E8" w:rsidRPr="00A13709">
        <w:t>(T)</w:t>
      </w:r>
      <w:r w:rsidR="000F62F2" w:rsidRPr="00A13709">
        <w:rPr>
          <w:b/>
          <w:bCs/>
        </w:rPr>
        <w:t xml:space="preserve"> </w:t>
      </w:r>
    </w:p>
    <w:p w14:paraId="74A9AAC9" w14:textId="4FCF98D5" w:rsidR="00EA6B69" w:rsidRPr="00A13709" w:rsidRDefault="00EA6B69" w:rsidP="00EA6B69">
      <w:pPr>
        <w:jc w:val="both"/>
      </w:pPr>
      <w:r w:rsidRPr="00A13709">
        <w:rPr>
          <w:b/>
          <w:bCs/>
        </w:rPr>
        <w:t>“Pi”</w:t>
      </w:r>
      <w:r w:rsidRPr="00A13709">
        <w:t xml:space="preserve"> </w:t>
      </w:r>
      <w:r w:rsidR="00B6350B" w:rsidRPr="00A13709">
        <w:t>is the price of a transaction</w:t>
      </w:r>
      <w:r w:rsidRPr="00A13709">
        <w:t xml:space="preserve"> </w:t>
      </w:r>
    </w:p>
    <w:p w14:paraId="2C09C427" w14:textId="540DD2E8" w:rsidR="00EA6B69" w:rsidRPr="00A13709" w:rsidRDefault="00EA6B69" w:rsidP="00EA6B69">
      <w:pPr>
        <w:jc w:val="both"/>
      </w:pPr>
      <w:r w:rsidRPr="00A13709">
        <w:rPr>
          <w:b/>
          <w:bCs/>
        </w:rPr>
        <w:t>“</w:t>
      </w:r>
      <w:r w:rsidR="00527D42" w:rsidRPr="00A13709">
        <w:rPr>
          <w:b/>
          <w:bCs/>
        </w:rPr>
        <w:t>C</w:t>
      </w:r>
      <w:r w:rsidRPr="00A13709">
        <w:rPr>
          <w:b/>
          <w:bCs/>
        </w:rPr>
        <w:t>i”</w:t>
      </w:r>
      <w:r w:rsidRPr="00A13709">
        <w:t xml:space="preserve"> </w:t>
      </w:r>
      <w:r w:rsidR="00990AB2" w:rsidRPr="00A13709">
        <w:t>is the quantity expressed in the number of MWh, related to the transaction</w:t>
      </w:r>
    </w:p>
    <w:p w14:paraId="0DB6CBA3" w14:textId="01A638C3" w:rsidR="00EA6B69" w:rsidRPr="00A13709" w:rsidRDefault="00EA6B69" w:rsidP="00EA6B69">
      <w:pPr>
        <w:jc w:val="both"/>
      </w:pPr>
      <w:r w:rsidRPr="00A13709">
        <w:rPr>
          <w:b/>
          <w:bCs/>
        </w:rPr>
        <w:t>“n”</w:t>
      </w:r>
      <w:r w:rsidRPr="00A13709">
        <w:t xml:space="preserve"> </w:t>
      </w:r>
      <w:r w:rsidR="00990AB2" w:rsidRPr="00A13709">
        <w:t xml:space="preserve">is the total number of transactions concluded on the market segment for the current delivery gas day </w:t>
      </w:r>
    </w:p>
    <w:p w14:paraId="38AED9EC" w14:textId="1F8D2E16" w:rsidR="00EA6B69" w:rsidRPr="00A13709" w:rsidRDefault="00EA6B69" w:rsidP="00EA6B69">
      <w:pPr>
        <w:jc w:val="both"/>
      </w:pPr>
      <w:r w:rsidRPr="00A13709">
        <w:rPr>
          <w:b/>
          <w:bCs/>
        </w:rPr>
        <w:t>“i”</w:t>
      </w:r>
      <w:r w:rsidRPr="00A13709">
        <w:t xml:space="preserve"> </w:t>
      </w:r>
      <w:r w:rsidR="00CC24A0" w:rsidRPr="00A13709">
        <w:t xml:space="preserve">identifies the transaction recorded in the </w:t>
      </w:r>
      <w:r w:rsidR="00B35146">
        <w:t>BRM EST</w:t>
      </w:r>
      <w:r w:rsidR="00CC24A0" w:rsidRPr="00A13709">
        <w:t xml:space="preserve"> trading system for the current day market segment</w:t>
      </w:r>
    </w:p>
    <w:p w14:paraId="744CA9F9" w14:textId="2FFACCC6" w:rsidR="00535E92" w:rsidRPr="00A13709" w:rsidRDefault="0090721F" w:rsidP="00EA6B69">
      <w:pPr>
        <w:jc w:val="both"/>
      </w:pPr>
      <w:r w:rsidRPr="00A13709">
        <w:t>“</w:t>
      </w:r>
      <w:r w:rsidRPr="00A13709">
        <w:rPr>
          <w:b/>
          <w:bCs/>
        </w:rPr>
        <w:t>WD</w:t>
      </w:r>
      <w:r w:rsidRPr="00A13709">
        <w:t xml:space="preserve">” – </w:t>
      </w:r>
      <w:r w:rsidR="00B35146">
        <w:t>acronym</w:t>
      </w:r>
      <w:r w:rsidR="00CC24A0" w:rsidRPr="00A13709">
        <w:t xml:space="preserve"> for the within day</w:t>
      </w:r>
    </w:p>
    <w:p w14:paraId="675F79DC" w14:textId="0BA067E3" w:rsidR="007D79B0" w:rsidRPr="00A13709" w:rsidRDefault="007D79B0" w:rsidP="00D31E25">
      <w:pPr>
        <w:jc w:val="both"/>
      </w:pPr>
    </w:p>
    <w:p w14:paraId="771541E7" w14:textId="1730BD35" w:rsidR="00C46189" w:rsidRPr="00A13709" w:rsidRDefault="00CC24A0" w:rsidP="00EA215C">
      <w:pPr>
        <w:pStyle w:val="ListParagraph"/>
        <w:numPr>
          <w:ilvl w:val="0"/>
          <w:numId w:val="1"/>
        </w:numPr>
        <w:jc w:val="both"/>
        <w:rPr>
          <w:b/>
          <w:bCs/>
          <w:color w:val="FF0000"/>
        </w:rPr>
      </w:pPr>
      <w:r w:rsidRPr="00A13709">
        <w:rPr>
          <w:b/>
        </w:rPr>
        <w:t>Specific calculation methodology for the</w:t>
      </w:r>
      <w:r w:rsidRPr="00A13709">
        <w:t xml:space="preserve"> </w:t>
      </w:r>
      <w:r w:rsidR="00816DCD">
        <w:rPr>
          <w:b/>
          <w:bCs/>
          <w:color w:val="FF0000"/>
        </w:rPr>
        <w:t>MDGAS</w:t>
      </w:r>
      <w:r w:rsidR="00C46189" w:rsidRPr="00A13709">
        <w:rPr>
          <w:b/>
          <w:bCs/>
          <w:color w:val="FF0000"/>
        </w:rPr>
        <w:t>_</w:t>
      </w:r>
      <w:r w:rsidR="00EA215C" w:rsidRPr="00A13709">
        <w:rPr>
          <w:b/>
          <w:bCs/>
          <w:color w:val="FF0000"/>
        </w:rPr>
        <w:t>FW</w:t>
      </w:r>
      <w:r w:rsidRPr="00A13709">
        <w:t xml:space="preserve"> </w:t>
      </w:r>
      <w:r w:rsidRPr="00A13709">
        <w:rPr>
          <w:b/>
        </w:rPr>
        <w:t>index</w:t>
      </w:r>
    </w:p>
    <w:p w14:paraId="1ADAB4EC" w14:textId="535B8CBD" w:rsidR="00EA215C" w:rsidRPr="00A13709" w:rsidRDefault="00EA215C" w:rsidP="00EA215C">
      <w:pPr>
        <w:pStyle w:val="ListParagraph"/>
        <w:jc w:val="both"/>
        <w:rPr>
          <w:b/>
          <w:bCs/>
        </w:rPr>
      </w:pPr>
    </w:p>
    <w:p w14:paraId="197A2C79" w14:textId="0AD234E6" w:rsidR="000E715D" w:rsidRPr="00A13709" w:rsidRDefault="00FE3900" w:rsidP="000E715D">
      <w:pPr>
        <w:jc w:val="both"/>
      </w:pPr>
      <w:r w:rsidRPr="00A13709">
        <w:t>The delivery periods for which indices are calculated are as follows: month, quarter, semester and calendar year, gas season and gas year</w:t>
      </w:r>
      <w:r w:rsidR="000E715D" w:rsidRPr="00A13709">
        <w:t>.</w:t>
      </w:r>
    </w:p>
    <w:p w14:paraId="058E38CD" w14:textId="2629A524" w:rsidR="00C46189" w:rsidRPr="00A13709" w:rsidRDefault="00E13617" w:rsidP="00C46189">
      <w:pPr>
        <w:jc w:val="both"/>
      </w:pPr>
      <w:r w:rsidRPr="00A13709">
        <w:t xml:space="preserve">The calculation frequency is daily and the calculation model is described for a certain trading day called day T in which transactions are concluded on all </w:t>
      </w:r>
      <w:r w:rsidR="00B35146">
        <w:t>BRM EST</w:t>
      </w:r>
      <w:r w:rsidRPr="00A13709">
        <w:t xml:space="preserve"> platforms with medium and long-term products with standard delivery periods, fixed transaction price and delivery in flat profile</w:t>
      </w:r>
      <w:r w:rsidR="001C3927" w:rsidRPr="00A13709">
        <w:t>.</w:t>
      </w:r>
    </w:p>
    <w:p w14:paraId="73352EF7" w14:textId="2D52D628" w:rsidR="00FC4192" w:rsidRPr="00A13709" w:rsidRDefault="00417743" w:rsidP="00C46189">
      <w:pPr>
        <w:jc w:val="both"/>
      </w:pPr>
      <w:r w:rsidRPr="00A13709">
        <w:t>The published indices related to the periods have the following terminology</w:t>
      </w:r>
      <w:r w:rsidR="002C5738" w:rsidRPr="00A13709">
        <w:t>:</w:t>
      </w:r>
    </w:p>
    <w:p w14:paraId="1D1C250F" w14:textId="38EA0CC8" w:rsidR="00986DB1" w:rsidRPr="00A13709" w:rsidRDefault="00816DCD" w:rsidP="00986DB1">
      <w:pPr>
        <w:jc w:val="both"/>
        <w:rPr>
          <w:b/>
          <w:bCs/>
          <w:color w:val="FF0000"/>
        </w:rPr>
      </w:pPr>
      <w:r>
        <w:rPr>
          <w:b/>
          <w:bCs/>
          <w:color w:val="FF0000"/>
        </w:rPr>
        <w:t>MDGAS</w:t>
      </w:r>
      <w:r w:rsidR="00986DB1" w:rsidRPr="00A13709">
        <w:rPr>
          <w:b/>
          <w:bCs/>
          <w:color w:val="FF0000"/>
        </w:rPr>
        <w:t>_FW</w:t>
      </w:r>
      <w:r w:rsidR="00B5497A" w:rsidRPr="00A13709">
        <w:rPr>
          <w:b/>
          <w:bCs/>
          <w:color w:val="FF0000"/>
        </w:rPr>
        <w:t xml:space="preserve"> </w:t>
      </w:r>
      <w:proofErr w:type="spellStart"/>
      <w:r w:rsidR="00D37574" w:rsidRPr="00A13709">
        <w:rPr>
          <w:b/>
          <w:bCs/>
          <w:i/>
          <w:iCs/>
          <w:color w:val="808080" w:themeColor="background1" w:themeShade="80"/>
        </w:rPr>
        <w:t>Luna</w:t>
      </w:r>
      <w:r w:rsidR="00FF7417" w:rsidRPr="00A13709">
        <w:rPr>
          <w:b/>
          <w:bCs/>
          <w:i/>
          <w:iCs/>
          <w:color w:val="808080" w:themeColor="background1" w:themeShade="80"/>
        </w:rPr>
        <w:t>_</w:t>
      </w:r>
      <w:r w:rsidR="00986DB1" w:rsidRPr="00A13709">
        <w:rPr>
          <w:b/>
          <w:bCs/>
          <w:i/>
          <w:iCs/>
          <w:color w:val="808080" w:themeColor="background1" w:themeShade="80"/>
        </w:rPr>
        <w:t>AAAA</w:t>
      </w:r>
      <w:proofErr w:type="spellEnd"/>
      <w:r w:rsidR="002A30C7" w:rsidRPr="00A13709">
        <w:rPr>
          <w:b/>
          <w:bCs/>
          <w:i/>
          <w:iCs/>
          <w:color w:val="808080" w:themeColor="background1" w:themeShade="80"/>
        </w:rPr>
        <w:t xml:space="preserve"> – </w:t>
      </w:r>
      <w:proofErr w:type="spellStart"/>
      <w:r w:rsidR="002A30C7" w:rsidRPr="00A13709">
        <w:rPr>
          <w:b/>
          <w:bCs/>
          <w:i/>
          <w:iCs/>
          <w:color w:val="808080" w:themeColor="background1" w:themeShade="80"/>
        </w:rPr>
        <w:t>Month_YYYY</w:t>
      </w:r>
      <w:proofErr w:type="spellEnd"/>
      <w:r w:rsidR="00E52C47" w:rsidRPr="00A13709">
        <w:rPr>
          <w:b/>
          <w:bCs/>
          <w:color w:val="808080" w:themeColor="background1" w:themeShade="80"/>
        </w:rPr>
        <w:t xml:space="preserve">, </w:t>
      </w:r>
      <w:r w:rsidR="002A30C7" w:rsidRPr="00A13709">
        <w:rPr>
          <w:b/>
        </w:rPr>
        <w:t>index for a specific calendar month of delivery. Example</w:t>
      </w:r>
      <w:r w:rsidR="004238D9" w:rsidRPr="00A13709">
        <w:rPr>
          <w:b/>
          <w:bCs/>
        </w:rPr>
        <w:t>:</w:t>
      </w:r>
      <w:r w:rsidR="00A41BE9" w:rsidRPr="00A13709">
        <w:rPr>
          <w:b/>
          <w:bCs/>
          <w:color w:val="FF0000"/>
        </w:rPr>
        <w:t xml:space="preserve"> </w:t>
      </w:r>
      <w:r w:rsidR="00A41BE9" w:rsidRPr="00A13709">
        <w:rPr>
          <w:b/>
          <w:bCs/>
          <w:i/>
          <w:iCs/>
          <w:color w:val="808080" w:themeColor="background1" w:themeShade="80"/>
        </w:rPr>
        <w:t>Decembrie</w:t>
      </w:r>
      <w:r w:rsidR="00E91CA9" w:rsidRPr="00A13709">
        <w:rPr>
          <w:b/>
          <w:bCs/>
          <w:i/>
          <w:iCs/>
          <w:color w:val="808080" w:themeColor="background1" w:themeShade="80"/>
        </w:rPr>
        <w:t>_</w:t>
      </w:r>
      <w:r w:rsidR="00A41BE9" w:rsidRPr="00A13709">
        <w:rPr>
          <w:b/>
          <w:bCs/>
          <w:i/>
          <w:iCs/>
          <w:color w:val="808080" w:themeColor="background1" w:themeShade="80"/>
        </w:rPr>
        <w:t>2020, Ianuarie</w:t>
      </w:r>
      <w:r w:rsidR="00E91CA9" w:rsidRPr="00A13709">
        <w:rPr>
          <w:b/>
          <w:bCs/>
          <w:i/>
          <w:iCs/>
          <w:color w:val="808080" w:themeColor="background1" w:themeShade="80"/>
        </w:rPr>
        <w:t>_</w:t>
      </w:r>
      <w:r w:rsidR="00A41BE9" w:rsidRPr="00A13709">
        <w:rPr>
          <w:b/>
          <w:bCs/>
          <w:i/>
          <w:iCs/>
          <w:color w:val="808080" w:themeColor="background1" w:themeShade="80"/>
        </w:rPr>
        <w:t xml:space="preserve">2021, </w:t>
      </w:r>
      <w:proofErr w:type="spellStart"/>
      <w:r w:rsidR="00590703" w:rsidRPr="00A13709">
        <w:rPr>
          <w:b/>
          <w:bCs/>
          <w:i/>
          <w:iCs/>
          <w:color w:val="808080" w:themeColor="background1" w:themeShade="80"/>
        </w:rPr>
        <w:t>Februarie</w:t>
      </w:r>
      <w:proofErr w:type="spellEnd"/>
      <w:r w:rsidR="00A41BE9" w:rsidRPr="00A13709">
        <w:rPr>
          <w:b/>
          <w:bCs/>
          <w:i/>
          <w:iCs/>
          <w:color w:val="808080" w:themeColor="background1" w:themeShade="80"/>
        </w:rPr>
        <w:t xml:space="preserve"> </w:t>
      </w:r>
      <w:r w:rsidR="00543631" w:rsidRPr="00A13709">
        <w:rPr>
          <w:b/>
          <w:bCs/>
          <w:i/>
          <w:iCs/>
          <w:color w:val="808080" w:themeColor="background1" w:themeShade="80"/>
        </w:rPr>
        <w:t>_</w:t>
      </w:r>
      <w:r w:rsidR="00A41BE9" w:rsidRPr="00A13709">
        <w:rPr>
          <w:b/>
          <w:bCs/>
          <w:i/>
          <w:iCs/>
          <w:color w:val="808080" w:themeColor="background1" w:themeShade="80"/>
        </w:rPr>
        <w:t>2021</w:t>
      </w:r>
      <w:r w:rsidR="002A30C7" w:rsidRPr="00A13709">
        <w:rPr>
          <w:b/>
          <w:bCs/>
          <w:i/>
          <w:iCs/>
          <w:color w:val="808080" w:themeColor="background1" w:themeShade="80"/>
        </w:rPr>
        <w:t xml:space="preserve"> etc. – December_2020, January_2021, February_2021</w:t>
      </w:r>
      <w:r w:rsidR="00590703" w:rsidRPr="00A13709">
        <w:rPr>
          <w:b/>
          <w:bCs/>
          <w:i/>
          <w:iCs/>
          <w:color w:val="808080" w:themeColor="background1" w:themeShade="80"/>
        </w:rPr>
        <w:t>,</w:t>
      </w:r>
      <w:r w:rsidR="00590703" w:rsidRPr="00A13709">
        <w:rPr>
          <w:b/>
          <w:bCs/>
          <w:color w:val="808080" w:themeColor="background1" w:themeShade="80"/>
        </w:rPr>
        <w:t xml:space="preserve"> </w:t>
      </w:r>
      <w:r w:rsidR="00590703" w:rsidRPr="00A13709">
        <w:rPr>
          <w:b/>
          <w:bCs/>
          <w:i/>
          <w:iCs/>
          <w:color w:val="808080" w:themeColor="background1" w:themeShade="80"/>
        </w:rPr>
        <w:t>etc.</w:t>
      </w:r>
    </w:p>
    <w:p w14:paraId="43690E76" w14:textId="44CFA06B" w:rsidR="00E52C47" w:rsidRPr="00A13709" w:rsidRDefault="00816DCD" w:rsidP="00E52C47">
      <w:pPr>
        <w:jc w:val="both"/>
        <w:rPr>
          <w:b/>
          <w:bCs/>
          <w:i/>
          <w:iCs/>
          <w:color w:val="FF0000"/>
        </w:rPr>
      </w:pPr>
      <w:r>
        <w:rPr>
          <w:b/>
          <w:bCs/>
          <w:color w:val="FF0000"/>
        </w:rPr>
        <w:t>MDGAS</w:t>
      </w:r>
      <w:r w:rsidR="00986DB1" w:rsidRPr="00A13709">
        <w:rPr>
          <w:b/>
          <w:bCs/>
          <w:color w:val="FF0000"/>
        </w:rPr>
        <w:t>_FW</w:t>
      </w:r>
      <w:r w:rsidR="002806AD" w:rsidRPr="00A13709">
        <w:rPr>
          <w:b/>
          <w:bCs/>
          <w:color w:val="FF0000"/>
        </w:rPr>
        <w:t xml:space="preserve"> </w:t>
      </w:r>
      <w:proofErr w:type="spellStart"/>
      <w:r w:rsidR="00043184" w:rsidRPr="00A13709">
        <w:rPr>
          <w:b/>
          <w:bCs/>
          <w:i/>
          <w:iCs/>
          <w:color w:val="808080" w:themeColor="background1" w:themeShade="80"/>
        </w:rPr>
        <w:t>Trimestrul</w:t>
      </w:r>
      <w:proofErr w:type="spellEnd"/>
      <w:r w:rsidR="00043184" w:rsidRPr="00A13709">
        <w:rPr>
          <w:b/>
          <w:bCs/>
          <w:i/>
          <w:iCs/>
          <w:color w:val="808080" w:themeColor="background1" w:themeShade="80"/>
        </w:rPr>
        <w:t xml:space="preserve"> </w:t>
      </w:r>
      <w:r w:rsidR="004238D9" w:rsidRPr="00A13709">
        <w:rPr>
          <w:b/>
          <w:bCs/>
          <w:i/>
          <w:iCs/>
          <w:color w:val="808080" w:themeColor="background1" w:themeShade="80"/>
        </w:rPr>
        <w:t>X</w:t>
      </w:r>
      <w:r w:rsidR="00986DB1" w:rsidRPr="00A13709">
        <w:rPr>
          <w:b/>
          <w:bCs/>
          <w:i/>
          <w:iCs/>
          <w:color w:val="808080" w:themeColor="background1" w:themeShade="80"/>
        </w:rPr>
        <w:t>_AAAA</w:t>
      </w:r>
      <w:r w:rsidR="002A30C7" w:rsidRPr="00A13709">
        <w:rPr>
          <w:b/>
          <w:bCs/>
          <w:i/>
          <w:iCs/>
          <w:color w:val="808080" w:themeColor="background1" w:themeShade="80"/>
        </w:rPr>
        <w:t xml:space="preserve"> – Quarter X_YYYY</w:t>
      </w:r>
      <w:r w:rsidR="00E52C47" w:rsidRPr="00A13709">
        <w:rPr>
          <w:b/>
          <w:bCs/>
          <w:i/>
          <w:iCs/>
          <w:color w:val="808080" w:themeColor="background1" w:themeShade="80"/>
        </w:rPr>
        <w:t>,</w:t>
      </w:r>
      <w:r w:rsidR="00986DB1" w:rsidRPr="00A13709">
        <w:rPr>
          <w:b/>
          <w:bCs/>
          <w:color w:val="808080" w:themeColor="background1" w:themeShade="80"/>
        </w:rPr>
        <w:t xml:space="preserve"> </w:t>
      </w:r>
      <w:r w:rsidR="002A30C7" w:rsidRPr="00A13709">
        <w:rPr>
          <w:b/>
        </w:rPr>
        <w:t>index for a certain calendar quarter of delivery. Example</w:t>
      </w:r>
      <w:r w:rsidR="004238D9" w:rsidRPr="00A13709">
        <w:rPr>
          <w:b/>
          <w:bCs/>
        </w:rPr>
        <w:t xml:space="preserve">: </w:t>
      </w:r>
      <w:proofErr w:type="spellStart"/>
      <w:r w:rsidR="00E91CA9" w:rsidRPr="00A13709">
        <w:rPr>
          <w:b/>
          <w:bCs/>
          <w:i/>
          <w:iCs/>
          <w:color w:val="808080" w:themeColor="background1" w:themeShade="80"/>
        </w:rPr>
        <w:t>Trimestrul</w:t>
      </w:r>
      <w:proofErr w:type="spellEnd"/>
      <w:r w:rsidR="00E91CA9" w:rsidRPr="00A13709">
        <w:rPr>
          <w:b/>
          <w:bCs/>
          <w:i/>
          <w:iCs/>
          <w:color w:val="808080" w:themeColor="background1" w:themeShade="80"/>
        </w:rPr>
        <w:t xml:space="preserve"> 4</w:t>
      </w:r>
      <w:r w:rsidR="00543631" w:rsidRPr="00A13709">
        <w:rPr>
          <w:b/>
          <w:bCs/>
          <w:i/>
          <w:iCs/>
          <w:color w:val="808080" w:themeColor="background1" w:themeShade="80"/>
        </w:rPr>
        <w:t>_</w:t>
      </w:r>
      <w:r w:rsidR="00E91CA9" w:rsidRPr="00A13709">
        <w:rPr>
          <w:b/>
          <w:bCs/>
          <w:i/>
          <w:iCs/>
          <w:color w:val="808080" w:themeColor="background1" w:themeShade="80"/>
        </w:rPr>
        <w:t xml:space="preserve"> 2020, </w:t>
      </w:r>
      <w:proofErr w:type="spellStart"/>
      <w:r w:rsidR="00E91CA9" w:rsidRPr="00A13709">
        <w:rPr>
          <w:b/>
          <w:bCs/>
          <w:i/>
          <w:iCs/>
          <w:color w:val="808080" w:themeColor="background1" w:themeShade="80"/>
        </w:rPr>
        <w:t>Trimestrul</w:t>
      </w:r>
      <w:proofErr w:type="spellEnd"/>
      <w:r w:rsidR="00E91CA9" w:rsidRPr="00A13709">
        <w:rPr>
          <w:b/>
          <w:bCs/>
          <w:i/>
          <w:iCs/>
          <w:color w:val="808080" w:themeColor="background1" w:themeShade="80"/>
        </w:rPr>
        <w:t xml:space="preserve"> 1</w:t>
      </w:r>
      <w:r w:rsidR="00543631" w:rsidRPr="00A13709">
        <w:rPr>
          <w:b/>
          <w:bCs/>
          <w:i/>
          <w:iCs/>
          <w:color w:val="808080" w:themeColor="background1" w:themeShade="80"/>
        </w:rPr>
        <w:t>_</w:t>
      </w:r>
      <w:r w:rsidR="00E52C47" w:rsidRPr="00A13709">
        <w:rPr>
          <w:b/>
          <w:bCs/>
          <w:i/>
          <w:iCs/>
          <w:color w:val="808080" w:themeColor="background1" w:themeShade="80"/>
        </w:rPr>
        <w:t>202</w:t>
      </w:r>
      <w:r w:rsidR="00E91CA9" w:rsidRPr="00A13709">
        <w:rPr>
          <w:b/>
          <w:bCs/>
          <w:i/>
          <w:iCs/>
          <w:color w:val="808080" w:themeColor="background1" w:themeShade="80"/>
        </w:rPr>
        <w:t>1</w:t>
      </w:r>
      <w:r w:rsidR="00E52C47" w:rsidRPr="00A13709">
        <w:rPr>
          <w:b/>
          <w:bCs/>
          <w:i/>
          <w:iCs/>
          <w:color w:val="808080" w:themeColor="background1" w:themeShade="80"/>
        </w:rPr>
        <w:t xml:space="preserve">, </w:t>
      </w:r>
      <w:proofErr w:type="spellStart"/>
      <w:r w:rsidR="002A30C7" w:rsidRPr="00A13709">
        <w:rPr>
          <w:b/>
          <w:bCs/>
          <w:i/>
          <w:iCs/>
          <w:color w:val="808080" w:themeColor="background1" w:themeShade="80"/>
        </w:rPr>
        <w:t>Trimestul</w:t>
      </w:r>
      <w:proofErr w:type="spellEnd"/>
      <w:r w:rsidR="002A30C7" w:rsidRPr="00A13709">
        <w:rPr>
          <w:b/>
          <w:bCs/>
          <w:i/>
          <w:iCs/>
          <w:color w:val="808080" w:themeColor="background1" w:themeShade="80"/>
        </w:rPr>
        <w:t xml:space="preserve"> 2_2021, etc. – Quarter 4_ 2020, Quarter 1_2021, Quarter 2_2021, etc.</w:t>
      </w:r>
    </w:p>
    <w:p w14:paraId="3728091F" w14:textId="6F84A435" w:rsidR="008D3E5F" w:rsidRPr="00A13709" w:rsidRDefault="00816DCD" w:rsidP="008D3E5F">
      <w:pPr>
        <w:jc w:val="both"/>
        <w:rPr>
          <w:b/>
          <w:bCs/>
          <w:i/>
          <w:iCs/>
          <w:color w:val="FF0000"/>
        </w:rPr>
      </w:pPr>
      <w:r>
        <w:rPr>
          <w:b/>
          <w:bCs/>
          <w:color w:val="FF0000"/>
        </w:rPr>
        <w:lastRenderedPageBreak/>
        <w:t>MDGAS</w:t>
      </w:r>
      <w:r w:rsidR="003F5C00" w:rsidRPr="00A13709">
        <w:rPr>
          <w:b/>
          <w:bCs/>
          <w:color w:val="FF0000"/>
        </w:rPr>
        <w:t>_FW</w:t>
      </w:r>
      <w:r w:rsidR="00F119F4" w:rsidRPr="00A13709">
        <w:rPr>
          <w:b/>
          <w:bCs/>
          <w:color w:val="FF0000"/>
        </w:rPr>
        <w:t xml:space="preserve"> </w:t>
      </w:r>
      <w:proofErr w:type="spellStart"/>
      <w:r w:rsidR="00F119F4" w:rsidRPr="00A13709">
        <w:rPr>
          <w:b/>
          <w:bCs/>
          <w:i/>
          <w:iCs/>
          <w:color w:val="808080" w:themeColor="background1" w:themeShade="80"/>
        </w:rPr>
        <w:t>Semestru</w:t>
      </w:r>
      <w:r w:rsidR="00092404" w:rsidRPr="00A13709">
        <w:rPr>
          <w:b/>
          <w:bCs/>
          <w:i/>
          <w:iCs/>
          <w:color w:val="808080" w:themeColor="background1" w:themeShade="80"/>
        </w:rPr>
        <w:t>l</w:t>
      </w:r>
      <w:proofErr w:type="spellEnd"/>
      <w:r w:rsidR="008D3E5F" w:rsidRPr="00A13709">
        <w:rPr>
          <w:b/>
          <w:bCs/>
          <w:i/>
          <w:iCs/>
          <w:color w:val="808080" w:themeColor="background1" w:themeShade="80"/>
        </w:rPr>
        <w:t xml:space="preserve"> X</w:t>
      </w:r>
      <w:r w:rsidR="007B485A" w:rsidRPr="00A13709">
        <w:rPr>
          <w:b/>
          <w:bCs/>
          <w:i/>
          <w:iCs/>
          <w:color w:val="808080" w:themeColor="background1" w:themeShade="80"/>
        </w:rPr>
        <w:t>_</w:t>
      </w:r>
      <w:r w:rsidR="003F5C00" w:rsidRPr="00A13709">
        <w:rPr>
          <w:b/>
          <w:bCs/>
          <w:i/>
          <w:iCs/>
          <w:color w:val="808080" w:themeColor="background1" w:themeShade="80"/>
        </w:rPr>
        <w:t>AAAA</w:t>
      </w:r>
      <w:r w:rsidR="000C1C1D" w:rsidRPr="00A13709">
        <w:rPr>
          <w:b/>
          <w:bCs/>
          <w:i/>
          <w:iCs/>
          <w:color w:val="808080" w:themeColor="background1" w:themeShade="80"/>
        </w:rPr>
        <w:t xml:space="preserve"> – Semester X_YYYY,</w:t>
      </w:r>
      <w:r w:rsidR="000C1C1D" w:rsidRPr="00A13709">
        <w:rPr>
          <w:b/>
          <w:bCs/>
          <w:color w:val="808080" w:themeColor="background1" w:themeShade="80"/>
        </w:rPr>
        <w:t xml:space="preserve"> </w:t>
      </w:r>
      <w:r w:rsidR="000C1C1D" w:rsidRPr="00A13709">
        <w:rPr>
          <w:b/>
        </w:rPr>
        <w:t>index for</w:t>
      </w:r>
      <w:r w:rsidR="008D3E5F" w:rsidRPr="00A13709">
        <w:rPr>
          <w:b/>
          <w:bCs/>
          <w:color w:val="808080" w:themeColor="background1" w:themeShade="80"/>
        </w:rPr>
        <w:t xml:space="preserve"> </w:t>
      </w:r>
      <w:r w:rsidR="000C1C1D" w:rsidRPr="00A13709">
        <w:rPr>
          <w:b/>
        </w:rPr>
        <w:t>a certain calendar semester of delivery. Example</w:t>
      </w:r>
      <w:r w:rsidR="008D3E5F" w:rsidRPr="00A13709">
        <w:rPr>
          <w:b/>
          <w:bCs/>
        </w:rPr>
        <w:t xml:space="preserve">: </w:t>
      </w:r>
      <w:proofErr w:type="spellStart"/>
      <w:r w:rsidR="00074221" w:rsidRPr="00A13709">
        <w:rPr>
          <w:b/>
          <w:bCs/>
          <w:i/>
          <w:iCs/>
          <w:color w:val="808080" w:themeColor="background1" w:themeShade="80"/>
        </w:rPr>
        <w:t>Semestrul</w:t>
      </w:r>
      <w:proofErr w:type="spellEnd"/>
      <w:r w:rsidR="00074221" w:rsidRPr="00A13709">
        <w:rPr>
          <w:b/>
          <w:bCs/>
          <w:i/>
          <w:iCs/>
          <w:color w:val="808080" w:themeColor="background1" w:themeShade="80"/>
        </w:rPr>
        <w:t xml:space="preserve"> 2</w:t>
      </w:r>
      <w:r w:rsidR="008D3E5F" w:rsidRPr="00A13709">
        <w:rPr>
          <w:b/>
          <w:bCs/>
          <w:i/>
          <w:iCs/>
          <w:color w:val="808080" w:themeColor="background1" w:themeShade="80"/>
        </w:rPr>
        <w:t xml:space="preserve">_ 2020, </w:t>
      </w:r>
      <w:proofErr w:type="spellStart"/>
      <w:r w:rsidR="00074221" w:rsidRPr="00A13709">
        <w:rPr>
          <w:b/>
          <w:bCs/>
          <w:i/>
          <w:iCs/>
          <w:color w:val="808080" w:themeColor="background1" w:themeShade="80"/>
        </w:rPr>
        <w:t>Semestrul</w:t>
      </w:r>
      <w:proofErr w:type="spellEnd"/>
      <w:r w:rsidR="008D3E5F" w:rsidRPr="00A13709">
        <w:rPr>
          <w:b/>
          <w:bCs/>
          <w:i/>
          <w:iCs/>
          <w:color w:val="808080" w:themeColor="background1" w:themeShade="80"/>
        </w:rPr>
        <w:t xml:space="preserve"> 1_2021, </w:t>
      </w:r>
      <w:proofErr w:type="spellStart"/>
      <w:r w:rsidR="00074221" w:rsidRPr="00A13709">
        <w:rPr>
          <w:b/>
          <w:bCs/>
          <w:i/>
          <w:iCs/>
          <w:color w:val="808080" w:themeColor="background1" w:themeShade="80"/>
        </w:rPr>
        <w:t>Semestrul</w:t>
      </w:r>
      <w:proofErr w:type="spellEnd"/>
      <w:r w:rsidR="008D3E5F" w:rsidRPr="00A13709">
        <w:rPr>
          <w:b/>
          <w:bCs/>
          <w:i/>
          <w:iCs/>
          <w:color w:val="808080" w:themeColor="background1" w:themeShade="80"/>
        </w:rPr>
        <w:t xml:space="preserve"> 2_2021, etc</w:t>
      </w:r>
      <w:r w:rsidR="00414B18" w:rsidRPr="00A13709">
        <w:rPr>
          <w:b/>
          <w:bCs/>
          <w:i/>
          <w:iCs/>
          <w:color w:val="808080" w:themeColor="background1" w:themeShade="80"/>
        </w:rPr>
        <w:t>. – Semester 2_ 2020, Semester 1_2021, Semester 2_2021, etc.</w:t>
      </w:r>
    </w:p>
    <w:p w14:paraId="0EEF2367" w14:textId="640F3E64" w:rsidR="00074221" w:rsidRPr="00A13709" w:rsidRDefault="00816DCD" w:rsidP="00074221">
      <w:pPr>
        <w:jc w:val="both"/>
        <w:rPr>
          <w:b/>
          <w:bCs/>
          <w:i/>
          <w:iCs/>
          <w:color w:val="FF0000"/>
        </w:rPr>
      </w:pPr>
      <w:r>
        <w:rPr>
          <w:b/>
          <w:bCs/>
          <w:color w:val="FF0000"/>
        </w:rPr>
        <w:t>MDGAS</w:t>
      </w:r>
      <w:r w:rsidR="001B46E1" w:rsidRPr="00A13709">
        <w:rPr>
          <w:b/>
          <w:bCs/>
          <w:color w:val="FF0000"/>
        </w:rPr>
        <w:t>_FW</w:t>
      </w:r>
      <w:r w:rsidR="00F119F4" w:rsidRPr="00A13709">
        <w:rPr>
          <w:b/>
          <w:bCs/>
          <w:color w:val="FF0000"/>
        </w:rPr>
        <w:t xml:space="preserve"> </w:t>
      </w:r>
      <w:r w:rsidR="00092404" w:rsidRPr="00A13709">
        <w:rPr>
          <w:b/>
          <w:bCs/>
          <w:i/>
          <w:iCs/>
          <w:color w:val="808080" w:themeColor="background1" w:themeShade="80"/>
        </w:rPr>
        <w:t xml:space="preserve">An </w:t>
      </w:r>
      <w:proofErr w:type="spellStart"/>
      <w:r w:rsidR="00092404" w:rsidRPr="00A13709">
        <w:rPr>
          <w:b/>
          <w:bCs/>
          <w:i/>
          <w:iCs/>
          <w:color w:val="808080" w:themeColor="background1" w:themeShade="80"/>
        </w:rPr>
        <w:t>calendaristic_AAAA</w:t>
      </w:r>
      <w:proofErr w:type="spellEnd"/>
      <w:r w:rsidR="00ED29D4" w:rsidRPr="00A13709">
        <w:rPr>
          <w:b/>
          <w:bCs/>
          <w:i/>
          <w:iCs/>
          <w:color w:val="808080" w:themeColor="background1" w:themeShade="80"/>
        </w:rPr>
        <w:t xml:space="preserve"> – Calendar </w:t>
      </w:r>
      <w:proofErr w:type="spellStart"/>
      <w:r w:rsidR="00ED29D4" w:rsidRPr="00A13709">
        <w:rPr>
          <w:b/>
          <w:bCs/>
          <w:i/>
          <w:iCs/>
          <w:color w:val="808080" w:themeColor="background1" w:themeShade="80"/>
        </w:rPr>
        <w:t>year_YYYY</w:t>
      </w:r>
      <w:proofErr w:type="spellEnd"/>
      <w:r w:rsidR="00074221" w:rsidRPr="00A13709">
        <w:rPr>
          <w:b/>
          <w:bCs/>
        </w:rPr>
        <w:t xml:space="preserve">, </w:t>
      </w:r>
      <w:bookmarkStart w:id="0" w:name="_Hlk57895047"/>
      <w:r w:rsidR="00ED29D4" w:rsidRPr="00A13709">
        <w:rPr>
          <w:b/>
        </w:rPr>
        <w:t>index for</w:t>
      </w:r>
      <w:r w:rsidR="00ED29D4" w:rsidRPr="00A13709">
        <w:rPr>
          <w:b/>
          <w:bCs/>
          <w:color w:val="808080" w:themeColor="background1" w:themeShade="80"/>
        </w:rPr>
        <w:t xml:space="preserve"> </w:t>
      </w:r>
      <w:r w:rsidR="00ED29D4" w:rsidRPr="00A13709">
        <w:rPr>
          <w:b/>
        </w:rPr>
        <w:t xml:space="preserve">a certain calendar </w:t>
      </w:r>
      <w:bookmarkEnd w:id="0"/>
      <w:r w:rsidR="00ED29D4" w:rsidRPr="00A13709">
        <w:rPr>
          <w:b/>
        </w:rPr>
        <w:t>year of delivery. Example</w:t>
      </w:r>
      <w:r w:rsidR="00074221" w:rsidRPr="00A13709">
        <w:rPr>
          <w:b/>
          <w:bCs/>
        </w:rPr>
        <w:t xml:space="preserve">: </w:t>
      </w:r>
      <w:r w:rsidR="00EE075E" w:rsidRPr="00A13709">
        <w:rPr>
          <w:b/>
          <w:bCs/>
          <w:i/>
          <w:iCs/>
          <w:color w:val="808080" w:themeColor="background1" w:themeShade="80"/>
        </w:rPr>
        <w:t>An calenda</w:t>
      </w:r>
      <w:r w:rsidR="005E1CB1" w:rsidRPr="00A13709">
        <w:rPr>
          <w:b/>
          <w:bCs/>
          <w:i/>
          <w:iCs/>
          <w:color w:val="808080" w:themeColor="background1" w:themeShade="80"/>
        </w:rPr>
        <w:t>ristic_2020, An calendaristic_2021, etc</w:t>
      </w:r>
      <w:r w:rsidR="00ED29D4" w:rsidRPr="00A13709">
        <w:rPr>
          <w:b/>
          <w:bCs/>
          <w:i/>
          <w:iCs/>
          <w:color w:val="808080" w:themeColor="background1" w:themeShade="80"/>
        </w:rPr>
        <w:t>. – Calendar year_2020, Calendar year_2021, etc.</w:t>
      </w:r>
    </w:p>
    <w:p w14:paraId="1E2D46FF" w14:textId="29164AC5" w:rsidR="00E33E8B" w:rsidRPr="00A13709" w:rsidRDefault="00816DCD" w:rsidP="00E33E8B">
      <w:pPr>
        <w:jc w:val="both"/>
        <w:rPr>
          <w:b/>
          <w:bCs/>
          <w:color w:val="FF0000"/>
        </w:rPr>
      </w:pPr>
      <w:r>
        <w:rPr>
          <w:b/>
          <w:bCs/>
          <w:color w:val="FF0000"/>
        </w:rPr>
        <w:t>MDGAS</w:t>
      </w:r>
      <w:r w:rsidR="00E33E8B" w:rsidRPr="00A13709">
        <w:rPr>
          <w:b/>
          <w:bCs/>
          <w:color w:val="FF0000"/>
        </w:rPr>
        <w:t>_FW</w:t>
      </w:r>
      <w:r w:rsidR="00F119F4" w:rsidRPr="00A13709">
        <w:rPr>
          <w:b/>
          <w:bCs/>
          <w:color w:val="FF0000"/>
        </w:rPr>
        <w:t xml:space="preserve"> </w:t>
      </w:r>
      <w:proofErr w:type="spellStart"/>
      <w:r w:rsidR="00092404" w:rsidRPr="00A13709">
        <w:rPr>
          <w:b/>
          <w:bCs/>
          <w:i/>
          <w:iCs/>
          <w:color w:val="808080" w:themeColor="background1" w:themeShade="80"/>
        </w:rPr>
        <w:t>Sezon</w:t>
      </w:r>
      <w:proofErr w:type="spellEnd"/>
      <w:r w:rsidR="00092404" w:rsidRPr="00A13709">
        <w:rPr>
          <w:b/>
          <w:bCs/>
          <w:i/>
          <w:iCs/>
          <w:color w:val="808080" w:themeColor="background1" w:themeShade="80"/>
        </w:rPr>
        <w:t xml:space="preserve"> </w:t>
      </w:r>
      <w:proofErr w:type="spellStart"/>
      <w:r w:rsidR="00092404" w:rsidRPr="00A13709">
        <w:rPr>
          <w:b/>
          <w:bCs/>
          <w:i/>
          <w:iCs/>
          <w:color w:val="808080" w:themeColor="background1" w:themeShade="80"/>
        </w:rPr>
        <w:t>gazier</w:t>
      </w:r>
      <w:proofErr w:type="spellEnd"/>
      <w:r w:rsidR="00092404" w:rsidRPr="00A13709">
        <w:rPr>
          <w:b/>
          <w:bCs/>
          <w:i/>
          <w:iCs/>
          <w:color w:val="808080" w:themeColor="background1" w:themeShade="80"/>
        </w:rPr>
        <w:t xml:space="preserve"> </w:t>
      </w:r>
      <w:proofErr w:type="spellStart"/>
      <w:r w:rsidR="00092404" w:rsidRPr="00A13709">
        <w:rPr>
          <w:b/>
          <w:bCs/>
          <w:i/>
          <w:iCs/>
          <w:color w:val="808080" w:themeColor="background1" w:themeShade="80"/>
        </w:rPr>
        <w:t>cald</w:t>
      </w:r>
      <w:proofErr w:type="spellEnd"/>
      <w:r w:rsidR="00AA67EE" w:rsidRPr="00A13709">
        <w:rPr>
          <w:b/>
          <w:bCs/>
          <w:i/>
          <w:iCs/>
          <w:color w:val="808080" w:themeColor="background1" w:themeShade="80"/>
        </w:rPr>
        <w:t>/</w:t>
      </w:r>
      <w:proofErr w:type="spellStart"/>
      <w:r w:rsidR="00AA67EE" w:rsidRPr="00A13709">
        <w:rPr>
          <w:b/>
          <w:bCs/>
          <w:i/>
          <w:iCs/>
          <w:color w:val="808080" w:themeColor="background1" w:themeShade="80"/>
        </w:rPr>
        <w:t>rece</w:t>
      </w:r>
      <w:r w:rsidR="00092404" w:rsidRPr="00A13709">
        <w:rPr>
          <w:b/>
          <w:bCs/>
          <w:i/>
          <w:iCs/>
          <w:color w:val="808080" w:themeColor="background1" w:themeShade="80"/>
        </w:rPr>
        <w:t>_AAAA</w:t>
      </w:r>
      <w:proofErr w:type="spellEnd"/>
      <w:r w:rsidR="00ED29D4" w:rsidRPr="00A13709">
        <w:rPr>
          <w:b/>
          <w:bCs/>
          <w:i/>
          <w:iCs/>
          <w:color w:val="808080" w:themeColor="background1" w:themeShade="80"/>
        </w:rPr>
        <w:t xml:space="preserve"> – Hot/warm gas </w:t>
      </w:r>
      <w:proofErr w:type="spellStart"/>
      <w:r w:rsidR="00ED29D4" w:rsidRPr="00A13709">
        <w:rPr>
          <w:b/>
          <w:bCs/>
          <w:i/>
          <w:iCs/>
          <w:color w:val="808080" w:themeColor="background1" w:themeShade="80"/>
        </w:rPr>
        <w:t>season_YYYY</w:t>
      </w:r>
      <w:proofErr w:type="spellEnd"/>
      <w:r w:rsidR="00ED29D4" w:rsidRPr="00A13709">
        <w:rPr>
          <w:b/>
          <w:bCs/>
        </w:rPr>
        <w:t xml:space="preserve">, </w:t>
      </w:r>
      <w:r w:rsidR="00ED29D4" w:rsidRPr="00A13709">
        <w:rPr>
          <w:b/>
        </w:rPr>
        <w:t>index for</w:t>
      </w:r>
      <w:r w:rsidR="00ED29D4" w:rsidRPr="00A13709">
        <w:rPr>
          <w:b/>
          <w:bCs/>
        </w:rPr>
        <w:t xml:space="preserve"> </w:t>
      </w:r>
      <w:r w:rsidR="00ED29D4" w:rsidRPr="00A13709">
        <w:rPr>
          <w:b/>
        </w:rPr>
        <w:t>a certain</w:t>
      </w:r>
      <w:r w:rsidR="00E33E8B" w:rsidRPr="00A13709">
        <w:rPr>
          <w:b/>
          <w:bCs/>
        </w:rPr>
        <w:t xml:space="preserve"> </w:t>
      </w:r>
      <w:r w:rsidR="00ED29D4" w:rsidRPr="00A13709">
        <w:rPr>
          <w:b/>
          <w:bCs/>
        </w:rPr>
        <w:t xml:space="preserve">gas season of delivery. </w:t>
      </w:r>
      <w:r w:rsidR="00ED29D4" w:rsidRPr="00A13709">
        <w:rPr>
          <w:b/>
        </w:rPr>
        <w:t>Example</w:t>
      </w:r>
      <w:r w:rsidR="00ED29D4" w:rsidRPr="00A13709">
        <w:rPr>
          <w:b/>
          <w:bCs/>
        </w:rPr>
        <w:t xml:space="preserve">: </w:t>
      </w:r>
      <w:proofErr w:type="spellStart"/>
      <w:r w:rsidR="00AA67EE" w:rsidRPr="00A13709">
        <w:rPr>
          <w:b/>
          <w:bCs/>
          <w:i/>
          <w:iCs/>
          <w:color w:val="808080" w:themeColor="background1" w:themeShade="80"/>
        </w:rPr>
        <w:t>Sezon</w:t>
      </w:r>
      <w:proofErr w:type="spellEnd"/>
      <w:r w:rsidR="00AA67EE" w:rsidRPr="00A13709">
        <w:rPr>
          <w:b/>
          <w:bCs/>
          <w:i/>
          <w:iCs/>
          <w:color w:val="808080" w:themeColor="background1" w:themeShade="80"/>
        </w:rPr>
        <w:t xml:space="preserve"> </w:t>
      </w:r>
      <w:proofErr w:type="spellStart"/>
      <w:r w:rsidR="00AA67EE" w:rsidRPr="00A13709">
        <w:rPr>
          <w:b/>
          <w:bCs/>
          <w:i/>
          <w:iCs/>
          <w:color w:val="808080" w:themeColor="background1" w:themeShade="80"/>
        </w:rPr>
        <w:t>gazier</w:t>
      </w:r>
      <w:proofErr w:type="spellEnd"/>
      <w:r w:rsidR="00AA67EE" w:rsidRPr="00A13709">
        <w:rPr>
          <w:b/>
          <w:bCs/>
          <w:i/>
          <w:iCs/>
          <w:color w:val="808080" w:themeColor="background1" w:themeShade="80"/>
        </w:rPr>
        <w:t xml:space="preserve"> rece_2020, </w:t>
      </w:r>
      <w:proofErr w:type="spellStart"/>
      <w:r w:rsidR="00AA67EE" w:rsidRPr="00A13709">
        <w:rPr>
          <w:b/>
          <w:bCs/>
          <w:i/>
          <w:iCs/>
          <w:color w:val="808080" w:themeColor="background1" w:themeShade="80"/>
        </w:rPr>
        <w:t>Sezon</w:t>
      </w:r>
      <w:proofErr w:type="spellEnd"/>
      <w:r w:rsidR="00AA67EE" w:rsidRPr="00A13709">
        <w:rPr>
          <w:b/>
          <w:bCs/>
          <w:i/>
          <w:iCs/>
          <w:color w:val="808080" w:themeColor="background1" w:themeShade="80"/>
        </w:rPr>
        <w:t xml:space="preserve"> </w:t>
      </w:r>
      <w:proofErr w:type="spellStart"/>
      <w:r w:rsidR="00AA67EE" w:rsidRPr="00A13709">
        <w:rPr>
          <w:b/>
          <w:bCs/>
          <w:i/>
          <w:iCs/>
          <w:color w:val="808080" w:themeColor="background1" w:themeShade="80"/>
        </w:rPr>
        <w:t>gazier</w:t>
      </w:r>
      <w:proofErr w:type="spellEnd"/>
      <w:r w:rsidR="00AA67EE" w:rsidRPr="00A13709">
        <w:rPr>
          <w:b/>
          <w:bCs/>
          <w:i/>
          <w:iCs/>
          <w:color w:val="808080" w:themeColor="background1" w:themeShade="80"/>
        </w:rPr>
        <w:t xml:space="preserve"> cald_2021, </w:t>
      </w:r>
      <w:proofErr w:type="spellStart"/>
      <w:r w:rsidR="00AA67EE" w:rsidRPr="00A13709">
        <w:rPr>
          <w:b/>
          <w:bCs/>
          <w:i/>
          <w:iCs/>
          <w:color w:val="808080" w:themeColor="background1" w:themeShade="80"/>
        </w:rPr>
        <w:t>Sezon</w:t>
      </w:r>
      <w:proofErr w:type="spellEnd"/>
      <w:r w:rsidR="00AA67EE" w:rsidRPr="00A13709">
        <w:rPr>
          <w:b/>
          <w:bCs/>
          <w:i/>
          <w:iCs/>
          <w:color w:val="808080" w:themeColor="background1" w:themeShade="80"/>
        </w:rPr>
        <w:t xml:space="preserve"> </w:t>
      </w:r>
      <w:proofErr w:type="spellStart"/>
      <w:r w:rsidR="00AA67EE" w:rsidRPr="00A13709">
        <w:rPr>
          <w:b/>
          <w:bCs/>
          <w:i/>
          <w:iCs/>
          <w:color w:val="808080" w:themeColor="background1" w:themeShade="80"/>
        </w:rPr>
        <w:t>gazier</w:t>
      </w:r>
      <w:proofErr w:type="spellEnd"/>
      <w:r w:rsidR="00AA67EE" w:rsidRPr="00A13709">
        <w:rPr>
          <w:b/>
          <w:bCs/>
          <w:i/>
          <w:iCs/>
          <w:color w:val="808080" w:themeColor="background1" w:themeShade="80"/>
        </w:rPr>
        <w:t xml:space="preserve"> rece</w:t>
      </w:r>
      <w:r w:rsidR="00F057E0" w:rsidRPr="00A13709">
        <w:rPr>
          <w:b/>
          <w:bCs/>
          <w:i/>
          <w:iCs/>
          <w:color w:val="808080" w:themeColor="background1" w:themeShade="80"/>
        </w:rPr>
        <w:t>_</w:t>
      </w:r>
      <w:r w:rsidR="00AA67EE" w:rsidRPr="00A13709">
        <w:rPr>
          <w:b/>
          <w:bCs/>
          <w:i/>
          <w:iCs/>
          <w:color w:val="808080" w:themeColor="background1" w:themeShade="80"/>
        </w:rPr>
        <w:t>2021</w:t>
      </w:r>
      <w:r w:rsidR="00ED29D4" w:rsidRPr="00A13709">
        <w:rPr>
          <w:b/>
          <w:bCs/>
          <w:i/>
          <w:iCs/>
          <w:color w:val="808080" w:themeColor="background1" w:themeShade="80"/>
        </w:rPr>
        <w:t>,</w:t>
      </w:r>
      <w:r w:rsidR="00F057E0" w:rsidRPr="00A13709">
        <w:rPr>
          <w:b/>
          <w:bCs/>
          <w:i/>
          <w:iCs/>
          <w:color w:val="808080" w:themeColor="background1" w:themeShade="80"/>
        </w:rPr>
        <w:t xml:space="preserve"> </w:t>
      </w:r>
      <w:r w:rsidR="00ED29D4" w:rsidRPr="00A13709">
        <w:rPr>
          <w:b/>
          <w:bCs/>
          <w:i/>
          <w:iCs/>
          <w:color w:val="808080" w:themeColor="background1" w:themeShade="80"/>
        </w:rPr>
        <w:t>e</w:t>
      </w:r>
      <w:r w:rsidR="00F057E0" w:rsidRPr="00A13709">
        <w:rPr>
          <w:b/>
          <w:bCs/>
          <w:i/>
          <w:iCs/>
          <w:color w:val="808080" w:themeColor="background1" w:themeShade="80"/>
        </w:rPr>
        <w:t>tc</w:t>
      </w:r>
      <w:r w:rsidR="00ED29D4" w:rsidRPr="00A13709">
        <w:rPr>
          <w:b/>
          <w:bCs/>
          <w:i/>
          <w:iCs/>
          <w:color w:val="808080" w:themeColor="background1" w:themeShade="80"/>
        </w:rPr>
        <w:t>. – Cold gas season_2020, Hot gas season_2021, Cold gas season_2021, etc.</w:t>
      </w:r>
    </w:p>
    <w:p w14:paraId="11EB2800" w14:textId="2C4D978A" w:rsidR="00F057E0" w:rsidRPr="00A13709" w:rsidRDefault="00816DCD" w:rsidP="00F057E0">
      <w:pPr>
        <w:jc w:val="both"/>
        <w:rPr>
          <w:b/>
          <w:bCs/>
          <w:color w:val="FF0000"/>
        </w:rPr>
      </w:pPr>
      <w:r>
        <w:rPr>
          <w:b/>
          <w:bCs/>
          <w:color w:val="FF0000"/>
        </w:rPr>
        <w:t>MDGAS</w:t>
      </w:r>
      <w:r w:rsidR="00093410" w:rsidRPr="00A13709">
        <w:rPr>
          <w:b/>
          <w:bCs/>
          <w:color w:val="FF0000"/>
        </w:rPr>
        <w:t>_FW</w:t>
      </w:r>
      <w:r w:rsidR="00F119F4" w:rsidRPr="00A13709">
        <w:rPr>
          <w:b/>
          <w:bCs/>
          <w:color w:val="FF0000"/>
        </w:rPr>
        <w:t xml:space="preserve"> </w:t>
      </w:r>
      <w:r w:rsidR="00F057E0" w:rsidRPr="00A13709">
        <w:rPr>
          <w:b/>
          <w:bCs/>
          <w:i/>
          <w:iCs/>
          <w:color w:val="808080" w:themeColor="background1" w:themeShade="80"/>
        </w:rPr>
        <w:t>An</w:t>
      </w:r>
      <w:r w:rsidR="00092404" w:rsidRPr="00A13709">
        <w:rPr>
          <w:b/>
          <w:bCs/>
          <w:i/>
          <w:iCs/>
          <w:color w:val="808080" w:themeColor="background1" w:themeShade="80"/>
        </w:rPr>
        <w:t xml:space="preserve"> </w:t>
      </w:r>
      <w:proofErr w:type="spellStart"/>
      <w:r w:rsidR="00092404" w:rsidRPr="00A13709">
        <w:rPr>
          <w:b/>
          <w:bCs/>
          <w:i/>
          <w:iCs/>
          <w:color w:val="808080" w:themeColor="background1" w:themeShade="80"/>
        </w:rPr>
        <w:t>gazier_AAAA</w:t>
      </w:r>
      <w:proofErr w:type="spellEnd"/>
      <w:r w:rsidR="00ED29D4" w:rsidRPr="00A13709">
        <w:rPr>
          <w:b/>
          <w:bCs/>
          <w:i/>
          <w:iCs/>
          <w:color w:val="808080" w:themeColor="background1" w:themeShade="80"/>
        </w:rPr>
        <w:t xml:space="preserve"> – Gas </w:t>
      </w:r>
      <w:proofErr w:type="spellStart"/>
      <w:r w:rsidR="00ED29D4" w:rsidRPr="00A13709">
        <w:rPr>
          <w:b/>
          <w:bCs/>
          <w:i/>
          <w:iCs/>
          <w:color w:val="808080" w:themeColor="background1" w:themeShade="80"/>
        </w:rPr>
        <w:t>year_YYYY</w:t>
      </w:r>
      <w:proofErr w:type="spellEnd"/>
      <w:r w:rsidR="00ED29D4" w:rsidRPr="00A13709">
        <w:rPr>
          <w:b/>
          <w:bCs/>
          <w:i/>
          <w:iCs/>
          <w:color w:val="808080" w:themeColor="background1" w:themeShade="80"/>
        </w:rPr>
        <w:t>,</w:t>
      </w:r>
      <w:r w:rsidR="00092404" w:rsidRPr="00A13709">
        <w:rPr>
          <w:b/>
          <w:bCs/>
          <w:color w:val="808080" w:themeColor="background1" w:themeShade="80"/>
        </w:rPr>
        <w:t xml:space="preserve"> </w:t>
      </w:r>
      <w:r w:rsidR="00ED29D4" w:rsidRPr="00A13709">
        <w:rPr>
          <w:b/>
        </w:rPr>
        <w:t>index for</w:t>
      </w:r>
      <w:r w:rsidR="00ED29D4" w:rsidRPr="00A13709">
        <w:rPr>
          <w:b/>
          <w:bCs/>
        </w:rPr>
        <w:t xml:space="preserve"> </w:t>
      </w:r>
      <w:r w:rsidR="00ED29D4" w:rsidRPr="00A13709">
        <w:rPr>
          <w:b/>
        </w:rPr>
        <w:t>a certain</w:t>
      </w:r>
      <w:r w:rsidR="00ED29D4" w:rsidRPr="00A13709">
        <w:rPr>
          <w:b/>
          <w:bCs/>
        </w:rPr>
        <w:t xml:space="preserve"> gas year of delivery</w:t>
      </w:r>
      <w:r w:rsidR="00F057E0" w:rsidRPr="00A13709">
        <w:rPr>
          <w:b/>
          <w:bCs/>
        </w:rPr>
        <w:t xml:space="preserve">. </w:t>
      </w:r>
      <w:r w:rsidR="00ED29D4" w:rsidRPr="00A13709">
        <w:rPr>
          <w:b/>
        </w:rPr>
        <w:t>Example</w:t>
      </w:r>
      <w:r w:rsidR="00F057E0" w:rsidRPr="00A13709">
        <w:rPr>
          <w:b/>
          <w:bCs/>
        </w:rPr>
        <w:t xml:space="preserve">: </w:t>
      </w:r>
      <w:proofErr w:type="spellStart"/>
      <w:r w:rsidR="00F057E0" w:rsidRPr="00A13709">
        <w:rPr>
          <w:b/>
          <w:bCs/>
          <w:i/>
          <w:iCs/>
          <w:color w:val="808080" w:themeColor="background1" w:themeShade="80"/>
        </w:rPr>
        <w:t>Sezon</w:t>
      </w:r>
      <w:proofErr w:type="spellEnd"/>
      <w:r w:rsidR="00F057E0" w:rsidRPr="00A13709">
        <w:rPr>
          <w:b/>
          <w:bCs/>
          <w:i/>
          <w:iCs/>
          <w:color w:val="808080" w:themeColor="background1" w:themeShade="80"/>
        </w:rPr>
        <w:t xml:space="preserve"> </w:t>
      </w:r>
      <w:proofErr w:type="spellStart"/>
      <w:r w:rsidR="00F057E0" w:rsidRPr="00A13709">
        <w:rPr>
          <w:b/>
          <w:bCs/>
          <w:i/>
          <w:iCs/>
          <w:color w:val="808080" w:themeColor="background1" w:themeShade="80"/>
        </w:rPr>
        <w:t>gazier</w:t>
      </w:r>
      <w:proofErr w:type="spellEnd"/>
      <w:r w:rsidR="00F057E0" w:rsidRPr="00A13709">
        <w:rPr>
          <w:b/>
          <w:bCs/>
          <w:i/>
          <w:iCs/>
          <w:color w:val="808080" w:themeColor="background1" w:themeShade="80"/>
        </w:rPr>
        <w:t xml:space="preserve"> rece_2020, </w:t>
      </w:r>
      <w:proofErr w:type="spellStart"/>
      <w:r w:rsidR="00F057E0" w:rsidRPr="00A13709">
        <w:rPr>
          <w:b/>
          <w:bCs/>
          <w:i/>
          <w:iCs/>
          <w:color w:val="808080" w:themeColor="background1" w:themeShade="80"/>
        </w:rPr>
        <w:t>Sezon</w:t>
      </w:r>
      <w:proofErr w:type="spellEnd"/>
      <w:r w:rsidR="00F057E0" w:rsidRPr="00A13709">
        <w:rPr>
          <w:b/>
          <w:bCs/>
          <w:i/>
          <w:iCs/>
          <w:color w:val="808080" w:themeColor="background1" w:themeShade="80"/>
        </w:rPr>
        <w:t xml:space="preserve"> </w:t>
      </w:r>
      <w:proofErr w:type="spellStart"/>
      <w:r w:rsidR="00F057E0" w:rsidRPr="00A13709">
        <w:rPr>
          <w:b/>
          <w:bCs/>
          <w:i/>
          <w:iCs/>
          <w:color w:val="808080" w:themeColor="background1" w:themeShade="80"/>
        </w:rPr>
        <w:t>gazier</w:t>
      </w:r>
      <w:proofErr w:type="spellEnd"/>
      <w:r w:rsidR="00F057E0" w:rsidRPr="00A13709">
        <w:rPr>
          <w:b/>
          <w:bCs/>
          <w:i/>
          <w:iCs/>
          <w:color w:val="808080" w:themeColor="background1" w:themeShade="80"/>
        </w:rPr>
        <w:t xml:space="preserve"> cald_2021, </w:t>
      </w:r>
      <w:proofErr w:type="spellStart"/>
      <w:r w:rsidR="00F057E0" w:rsidRPr="00A13709">
        <w:rPr>
          <w:b/>
          <w:bCs/>
          <w:i/>
          <w:iCs/>
          <w:color w:val="808080" w:themeColor="background1" w:themeShade="80"/>
        </w:rPr>
        <w:t>Sezon</w:t>
      </w:r>
      <w:proofErr w:type="spellEnd"/>
      <w:r w:rsidR="00F057E0" w:rsidRPr="00A13709">
        <w:rPr>
          <w:b/>
          <w:bCs/>
          <w:i/>
          <w:iCs/>
          <w:color w:val="808080" w:themeColor="background1" w:themeShade="80"/>
        </w:rPr>
        <w:t xml:space="preserve"> </w:t>
      </w:r>
      <w:proofErr w:type="spellStart"/>
      <w:r w:rsidR="00F057E0" w:rsidRPr="00A13709">
        <w:rPr>
          <w:b/>
          <w:bCs/>
          <w:i/>
          <w:iCs/>
          <w:color w:val="808080" w:themeColor="background1" w:themeShade="80"/>
        </w:rPr>
        <w:t>gazier</w:t>
      </w:r>
      <w:proofErr w:type="spellEnd"/>
      <w:r w:rsidR="00F057E0" w:rsidRPr="00A13709">
        <w:rPr>
          <w:b/>
          <w:bCs/>
          <w:i/>
          <w:iCs/>
          <w:color w:val="808080" w:themeColor="background1" w:themeShade="80"/>
        </w:rPr>
        <w:t xml:space="preserve"> rece_2021</w:t>
      </w:r>
      <w:r w:rsidR="00ED29D4" w:rsidRPr="00A13709">
        <w:rPr>
          <w:b/>
          <w:bCs/>
          <w:i/>
          <w:iCs/>
          <w:color w:val="808080" w:themeColor="background1" w:themeShade="80"/>
        </w:rPr>
        <w:t>, e</w:t>
      </w:r>
      <w:r w:rsidR="00F057E0" w:rsidRPr="00A13709">
        <w:rPr>
          <w:b/>
          <w:bCs/>
          <w:i/>
          <w:iCs/>
          <w:color w:val="808080" w:themeColor="background1" w:themeShade="80"/>
        </w:rPr>
        <w:t>tc</w:t>
      </w:r>
      <w:r w:rsidR="00ED29D4" w:rsidRPr="00A13709">
        <w:rPr>
          <w:b/>
          <w:bCs/>
          <w:i/>
          <w:iCs/>
          <w:color w:val="808080" w:themeColor="background1" w:themeShade="80"/>
        </w:rPr>
        <w:t>. – Cold gas season_2020, Hot gas season_2021, Cold gas season_2021, etc.</w:t>
      </w:r>
    </w:p>
    <w:p w14:paraId="1115D868" w14:textId="246ED47E" w:rsidR="005462F7" w:rsidRPr="00A13709" w:rsidRDefault="00ED29D4" w:rsidP="005462F7">
      <w:pPr>
        <w:jc w:val="both"/>
        <w:rPr>
          <w:rFonts w:eastAsiaTheme="minorEastAsia"/>
          <w:b/>
          <w:bCs/>
        </w:rPr>
      </w:pPr>
      <w:r w:rsidRPr="00A13709">
        <w:rPr>
          <w:b/>
        </w:rPr>
        <w:t>Where</w:t>
      </w:r>
      <w:r w:rsidR="005462F7" w:rsidRPr="00A13709">
        <w:rPr>
          <w:rFonts w:eastAsiaTheme="minorEastAsia"/>
          <w:b/>
          <w:bCs/>
        </w:rPr>
        <w:t>:</w:t>
      </w:r>
    </w:p>
    <w:p w14:paraId="2007AB5A" w14:textId="277B028A" w:rsidR="00ED29D4" w:rsidRPr="00A13709" w:rsidRDefault="005462F7" w:rsidP="001A0AE6">
      <w:pPr>
        <w:jc w:val="both"/>
      </w:pPr>
      <w:r w:rsidRPr="00A13709">
        <w:rPr>
          <w:b/>
          <w:bCs/>
        </w:rPr>
        <w:t>“</w:t>
      </w:r>
      <w:r w:rsidR="00816DCD">
        <w:rPr>
          <w:b/>
          <w:bCs/>
        </w:rPr>
        <w:t>MDGAS</w:t>
      </w:r>
      <w:r w:rsidRPr="00A13709">
        <w:rPr>
          <w:b/>
          <w:bCs/>
        </w:rPr>
        <w:t xml:space="preserve">_FW” </w:t>
      </w:r>
      <w:r w:rsidR="00ED29D4" w:rsidRPr="00A13709">
        <w:t xml:space="preserve">is the identifier of the market segment of the medium and long-term products </w:t>
      </w:r>
    </w:p>
    <w:p w14:paraId="37563690" w14:textId="6EF8629A" w:rsidR="00C618D7" w:rsidRPr="00A13709" w:rsidRDefault="00B168A6" w:rsidP="001A0AE6">
      <w:pPr>
        <w:jc w:val="both"/>
        <w:rPr>
          <w:b/>
          <w:bCs/>
        </w:rPr>
      </w:pPr>
      <w:r w:rsidRPr="00A13709">
        <w:t>“</w:t>
      </w:r>
      <w:r w:rsidR="00ED29D4" w:rsidRPr="00A13709">
        <w:rPr>
          <w:b/>
          <w:bCs/>
          <w:i/>
          <w:iCs/>
        </w:rPr>
        <w:t>YYYY</w:t>
      </w:r>
      <w:r w:rsidRPr="00A13709">
        <w:t xml:space="preserve">” </w:t>
      </w:r>
      <w:r w:rsidR="00ED29D4" w:rsidRPr="00A13709">
        <w:t>is the calendar year in which the delivery related to the product delivery period begins</w:t>
      </w:r>
    </w:p>
    <w:p w14:paraId="25BAC8C3" w14:textId="77777777" w:rsidR="001C3263" w:rsidRPr="00A13709" w:rsidRDefault="001C3263" w:rsidP="00B97CF7">
      <w:pPr>
        <w:jc w:val="center"/>
        <w:rPr>
          <w:b/>
          <w:bCs/>
        </w:rPr>
      </w:pPr>
    </w:p>
    <w:p w14:paraId="164C0407" w14:textId="787C27BD" w:rsidR="001B46E1" w:rsidRPr="00A13709" w:rsidRDefault="00ED29D4" w:rsidP="00B97CF7">
      <w:pPr>
        <w:jc w:val="center"/>
        <w:rPr>
          <w:b/>
          <w:bCs/>
        </w:rPr>
      </w:pPr>
      <w:r w:rsidRPr="00A13709">
        <w:rPr>
          <w:b/>
        </w:rPr>
        <w:t>Calculation method</w:t>
      </w:r>
      <w:r w:rsidR="00B97CF7" w:rsidRPr="00A13709">
        <w:rPr>
          <w:b/>
          <w:bCs/>
        </w:rPr>
        <w:t>:</w:t>
      </w:r>
    </w:p>
    <w:p w14:paraId="3FBC5E40" w14:textId="5712E1AA" w:rsidR="00B97CF7" w:rsidRPr="00A13709" w:rsidRDefault="00ED29D4" w:rsidP="00B97CF7">
      <w:pPr>
        <w:pStyle w:val="ListParagraph"/>
        <w:numPr>
          <w:ilvl w:val="0"/>
          <w:numId w:val="4"/>
        </w:numPr>
        <w:rPr>
          <w:i/>
          <w:iCs/>
        </w:rPr>
      </w:pPr>
      <w:r w:rsidRPr="00A13709">
        <w:t xml:space="preserve">Step 1 </w:t>
      </w:r>
      <w:r w:rsidR="006C6D9A" w:rsidRPr="00A13709">
        <w:t>–</w:t>
      </w:r>
      <w:r w:rsidRPr="00A13709">
        <w:t xml:space="preserve"> </w:t>
      </w:r>
      <w:r w:rsidR="006C6D9A" w:rsidRPr="00A13709">
        <w:t xml:space="preserve">Identification of </w:t>
      </w:r>
      <w:r w:rsidRPr="00A13709">
        <w:t xml:space="preserve">all Forward and Futures transactions that have a flat delivery profile and fixed price of the transaction and a certain delivery period: </w:t>
      </w:r>
      <w:r w:rsidRPr="00A13709">
        <w:rPr>
          <w:i/>
        </w:rPr>
        <w:t>month, quarter, semester, gas season, gas year or calendar year</w:t>
      </w:r>
      <w:r w:rsidR="00A87928" w:rsidRPr="00A13709">
        <w:rPr>
          <w:i/>
          <w:iCs/>
        </w:rPr>
        <w:t>.</w:t>
      </w:r>
      <w:r w:rsidR="00AB0194" w:rsidRPr="00A13709">
        <w:rPr>
          <w:i/>
          <w:iCs/>
        </w:rPr>
        <w:t xml:space="preserve"> </w:t>
      </w:r>
    </w:p>
    <w:p w14:paraId="45FF0C30" w14:textId="77777777" w:rsidR="008E1A13" w:rsidRPr="00A13709" w:rsidRDefault="008E1A13" w:rsidP="008E1A13">
      <w:pPr>
        <w:pStyle w:val="ListParagraph"/>
      </w:pPr>
    </w:p>
    <w:p w14:paraId="07266DA0" w14:textId="5A914815" w:rsidR="00B97CF7" w:rsidRPr="00A13709" w:rsidRDefault="006C6D9A" w:rsidP="00B97CF7">
      <w:pPr>
        <w:pStyle w:val="ListParagraph"/>
        <w:numPr>
          <w:ilvl w:val="0"/>
          <w:numId w:val="4"/>
        </w:numPr>
      </w:pPr>
      <w:r w:rsidRPr="00A13709">
        <w:t xml:space="preserve">Step </w:t>
      </w:r>
      <w:r w:rsidR="00550236" w:rsidRPr="00A13709">
        <w:t xml:space="preserve">2 </w:t>
      </w:r>
      <w:r w:rsidRPr="00A13709">
        <w:t>–</w:t>
      </w:r>
      <w:r w:rsidR="00550236" w:rsidRPr="00A13709">
        <w:t xml:space="preserve"> </w:t>
      </w:r>
      <w:r w:rsidRPr="00A13709">
        <w:t>Calculation on a daily basis of the weighted average price for the transactions concluded on the respective day on the products with the delivery period tracked by the index.</w:t>
      </w:r>
    </w:p>
    <w:p w14:paraId="1A795424" w14:textId="20637D4C" w:rsidR="00853E0D" w:rsidRPr="00A13709" w:rsidRDefault="00853E0D" w:rsidP="00853E0D">
      <w:pPr>
        <w:pStyle w:val="ListParagraph"/>
      </w:pPr>
    </w:p>
    <w:p w14:paraId="4E291E39" w14:textId="5A90BBBC" w:rsidR="00853E0D" w:rsidRPr="00A13709" w:rsidRDefault="006C6D9A" w:rsidP="00B97CF7">
      <w:pPr>
        <w:pStyle w:val="ListParagraph"/>
        <w:numPr>
          <w:ilvl w:val="0"/>
          <w:numId w:val="4"/>
        </w:numPr>
      </w:pPr>
      <w:r w:rsidRPr="00A13709">
        <w:t xml:space="preserve">Step </w:t>
      </w:r>
      <w:r w:rsidR="00853E0D" w:rsidRPr="00A13709">
        <w:t xml:space="preserve">3 – </w:t>
      </w:r>
      <w:r w:rsidR="00E157E9" w:rsidRPr="00A13709">
        <w:t>Update of the value of the price index at the time of a change.</w:t>
      </w:r>
    </w:p>
    <w:p w14:paraId="6D656E61" w14:textId="0EFC379E" w:rsidR="003F5C00" w:rsidRPr="00A13709" w:rsidRDefault="003F5C00" w:rsidP="00986DB1">
      <w:pPr>
        <w:jc w:val="both"/>
        <w:rPr>
          <w:b/>
          <w:bCs/>
          <w:color w:val="FF0000"/>
        </w:rPr>
      </w:pPr>
    </w:p>
    <w:p w14:paraId="7CEE6CBB" w14:textId="52F9F014" w:rsidR="00EB3CBE" w:rsidRPr="00A13709" w:rsidRDefault="005A5477" w:rsidP="00986DB1">
      <w:pPr>
        <w:jc w:val="both"/>
        <w:rPr>
          <w:i/>
          <w:iCs/>
          <w:color w:val="808080" w:themeColor="background1" w:themeShade="80"/>
        </w:rPr>
      </w:pPr>
      <w:r w:rsidRPr="00A13709">
        <w:rPr>
          <w:i/>
          <w:color w:val="808080" w:themeColor="background1" w:themeShade="80"/>
        </w:rPr>
        <w:t>Example for products with the delivery period the calendar year 2021</w:t>
      </w:r>
    </w:p>
    <w:p w14:paraId="71217C70" w14:textId="3DDAA63E" w:rsidR="00EB3CBE" w:rsidRPr="00A13709" w:rsidRDefault="00816DCD" w:rsidP="00EB3CBE">
      <w:pPr>
        <w:jc w:val="both"/>
        <w:rPr>
          <w:rFonts w:eastAsiaTheme="minorEastAsia"/>
          <w:i/>
          <w:iCs/>
          <w:color w:val="808080" w:themeColor="background1" w:themeShade="80"/>
        </w:rPr>
      </w:pPr>
      <w:r>
        <w:rPr>
          <w:i/>
          <w:iCs/>
          <w:color w:val="808080" w:themeColor="background1" w:themeShade="80"/>
        </w:rPr>
        <w:t>MDGAS</w:t>
      </w:r>
      <w:r w:rsidR="00EB3CBE" w:rsidRPr="00A13709">
        <w:rPr>
          <w:i/>
          <w:iCs/>
          <w:color w:val="808080" w:themeColor="background1" w:themeShade="80"/>
        </w:rPr>
        <w:t>_FW</w:t>
      </w:r>
      <w:r w:rsidR="00712627" w:rsidRPr="00A13709">
        <w:rPr>
          <w:i/>
          <w:iCs/>
          <w:color w:val="808080" w:themeColor="background1" w:themeShade="80"/>
        </w:rPr>
        <w:t xml:space="preserve"> </w:t>
      </w:r>
      <w:r w:rsidR="005A5477" w:rsidRPr="00A13709">
        <w:rPr>
          <w:b/>
          <w:bCs/>
          <w:i/>
          <w:iCs/>
          <w:color w:val="808080" w:themeColor="background1" w:themeShade="80"/>
        </w:rPr>
        <w:t>Calendar year</w:t>
      </w:r>
      <w:r w:rsidR="00EB3CBE" w:rsidRPr="00A13709">
        <w:rPr>
          <w:b/>
          <w:bCs/>
          <w:i/>
          <w:iCs/>
          <w:color w:val="808080" w:themeColor="background1" w:themeShade="80"/>
        </w:rPr>
        <w:t>_</w:t>
      </w:r>
      <w:r w:rsidR="005D7D5F" w:rsidRPr="00A13709">
        <w:rPr>
          <w:b/>
          <w:bCs/>
          <w:i/>
          <w:iCs/>
          <w:color w:val="808080" w:themeColor="background1" w:themeShade="80"/>
        </w:rPr>
        <w:t>2021</w:t>
      </w:r>
      <w:r w:rsidR="00EB3CBE" w:rsidRPr="00A13709">
        <w:rPr>
          <w:i/>
          <w:iCs/>
          <w:color w:val="808080" w:themeColor="background1" w:themeShade="80"/>
        </w:rPr>
        <w:t xml:space="preserve">= </w:t>
      </w:r>
      <m:oMath>
        <m:f>
          <m:fPr>
            <m:ctrlPr>
              <w:rPr>
                <w:rFonts w:ascii="Cambria Math" w:hAnsi="Cambria Math" w:cstheme="minorHAnsi"/>
                <w:i/>
                <w:iCs/>
                <w:color w:val="808080" w:themeColor="background1" w:themeShade="80"/>
              </w:rPr>
            </m:ctrlPr>
          </m:fPr>
          <m:num>
            <m:nary>
              <m:naryPr>
                <m:chr m:val="∑"/>
                <m:limLoc m:val="undOvr"/>
                <m:ctrlPr>
                  <w:rPr>
                    <w:rFonts w:ascii="Cambria Math" w:hAnsi="Cambria Math" w:cstheme="minorHAnsi"/>
                    <w:i/>
                    <w:iCs/>
                    <w:color w:val="808080" w:themeColor="background1" w:themeShade="80"/>
                  </w:rPr>
                </m:ctrlPr>
              </m:naryPr>
              <m:sub>
                <m:r>
                  <w:rPr>
                    <w:rFonts w:ascii="Cambria Math" w:hAnsi="Cambria Math" w:cstheme="minorHAnsi"/>
                    <w:color w:val="808080" w:themeColor="background1" w:themeShade="80"/>
                  </w:rPr>
                  <m:t>i=0</m:t>
                </m:r>
              </m:sub>
              <m:sup>
                <m:r>
                  <w:rPr>
                    <w:rFonts w:ascii="Cambria Math" w:hAnsi="Cambria Math" w:cstheme="minorHAnsi"/>
                    <w:color w:val="808080" w:themeColor="background1" w:themeShade="80"/>
                  </w:rPr>
                  <m:t>n</m:t>
                </m:r>
              </m:sup>
              <m:e>
                <m:r>
                  <w:rPr>
                    <w:rFonts w:ascii="Cambria Math" w:hAnsi="Cambria Math" w:cstheme="minorHAnsi"/>
                    <w:color w:val="808080" w:themeColor="background1" w:themeShade="80"/>
                  </w:rPr>
                  <m:t>Pi*Ci</m:t>
                </m:r>
              </m:e>
            </m:nary>
          </m:num>
          <m:den>
            <m:nary>
              <m:naryPr>
                <m:chr m:val="∑"/>
                <m:limLoc m:val="undOvr"/>
                <m:ctrlPr>
                  <w:rPr>
                    <w:rFonts w:ascii="Cambria Math" w:hAnsi="Cambria Math" w:cstheme="minorHAnsi"/>
                    <w:i/>
                    <w:iCs/>
                    <w:color w:val="808080" w:themeColor="background1" w:themeShade="80"/>
                  </w:rPr>
                </m:ctrlPr>
              </m:naryPr>
              <m:sub>
                <m:r>
                  <w:rPr>
                    <w:rFonts w:ascii="Cambria Math" w:hAnsi="Cambria Math" w:cstheme="minorHAnsi"/>
                    <w:color w:val="808080" w:themeColor="background1" w:themeShade="80"/>
                  </w:rPr>
                  <m:t>i=0</m:t>
                </m:r>
              </m:sub>
              <m:sup>
                <m:r>
                  <w:rPr>
                    <w:rFonts w:ascii="Cambria Math" w:hAnsi="Cambria Math" w:cstheme="minorHAnsi"/>
                    <w:color w:val="808080" w:themeColor="background1" w:themeShade="80"/>
                  </w:rPr>
                  <m:t>n</m:t>
                </m:r>
              </m:sup>
              <m:e>
                <m:r>
                  <w:rPr>
                    <w:rFonts w:ascii="Cambria Math" w:hAnsi="Cambria Math" w:cstheme="minorHAnsi"/>
                    <w:color w:val="808080" w:themeColor="background1" w:themeShade="80"/>
                  </w:rPr>
                  <m:t>Ci</m:t>
                </m:r>
              </m:e>
            </m:nary>
          </m:den>
        </m:f>
      </m:oMath>
      <w:r w:rsidR="00EB3CBE" w:rsidRPr="00A13709">
        <w:rPr>
          <w:rFonts w:eastAsiaTheme="minorEastAsia"/>
          <w:i/>
          <w:iCs/>
          <w:color w:val="808080" w:themeColor="background1" w:themeShade="80"/>
        </w:rPr>
        <w:t>,</w:t>
      </w:r>
    </w:p>
    <w:p w14:paraId="2CAFC395" w14:textId="24DBBF23" w:rsidR="00EB3CBE" w:rsidRPr="00A13709" w:rsidRDefault="005A5477" w:rsidP="00EB3CBE">
      <w:pPr>
        <w:jc w:val="both"/>
        <w:rPr>
          <w:rFonts w:eastAsiaTheme="minorEastAsia"/>
          <w:i/>
          <w:iCs/>
          <w:color w:val="808080" w:themeColor="background1" w:themeShade="80"/>
        </w:rPr>
      </w:pPr>
      <w:r w:rsidRPr="00A13709">
        <w:rPr>
          <w:rFonts w:eastAsiaTheme="minorEastAsia"/>
          <w:i/>
          <w:iCs/>
          <w:color w:val="808080" w:themeColor="background1" w:themeShade="80"/>
        </w:rPr>
        <w:t>Where</w:t>
      </w:r>
      <w:r w:rsidR="00EB3CBE" w:rsidRPr="00A13709">
        <w:rPr>
          <w:rFonts w:eastAsiaTheme="minorEastAsia"/>
          <w:i/>
          <w:iCs/>
          <w:color w:val="808080" w:themeColor="background1" w:themeShade="80"/>
        </w:rPr>
        <w:t>:</w:t>
      </w:r>
    </w:p>
    <w:p w14:paraId="04A17B26" w14:textId="71A8FF92" w:rsidR="00EB3CBE" w:rsidRPr="00A13709" w:rsidRDefault="005930F2" w:rsidP="00EB3CBE">
      <w:pPr>
        <w:jc w:val="both"/>
        <w:rPr>
          <w:i/>
          <w:iCs/>
          <w:color w:val="808080" w:themeColor="background1" w:themeShade="80"/>
        </w:rPr>
      </w:pPr>
      <w:r w:rsidRPr="00A13709">
        <w:rPr>
          <w:i/>
          <w:iCs/>
          <w:color w:val="808080" w:themeColor="background1" w:themeShade="80"/>
        </w:rPr>
        <w:t>“</w:t>
      </w:r>
      <w:r w:rsidR="005A5477" w:rsidRPr="00A13709">
        <w:rPr>
          <w:b/>
          <w:bCs/>
          <w:i/>
          <w:iCs/>
          <w:color w:val="808080" w:themeColor="background1" w:themeShade="80"/>
        </w:rPr>
        <w:t>Calendar year</w:t>
      </w:r>
      <w:r w:rsidR="00DE16F6" w:rsidRPr="00A13709">
        <w:rPr>
          <w:i/>
          <w:iCs/>
          <w:color w:val="808080" w:themeColor="background1" w:themeShade="80"/>
        </w:rPr>
        <w:t>_2021</w:t>
      </w:r>
      <w:r w:rsidR="00EB3CBE" w:rsidRPr="00A13709">
        <w:rPr>
          <w:i/>
          <w:iCs/>
          <w:color w:val="808080" w:themeColor="background1" w:themeShade="80"/>
        </w:rPr>
        <w:t xml:space="preserve">” </w:t>
      </w:r>
      <w:r w:rsidR="00DA7DD9" w:rsidRPr="00A13709">
        <w:rPr>
          <w:i/>
          <w:color w:val="808080" w:themeColor="background1" w:themeShade="80"/>
        </w:rPr>
        <w:t>is the delivery period related to the gas year 2021, respectively</w:t>
      </w:r>
      <w:r w:rsidR="00DA7DD9" w:rsidRPr="00A13709">
        <w:rPr>
          <w:color w:val="808080" w:themeColor="background1" w:themeShade="80"/>
        </w:rPr>
        <w:t xml:space="preserve"> </w:t>
      </w:r>
      <w:r w:rsidR="00495650" w:rsidRPr="00A13709">
        <w:rPr>
          <w:i/>
          <w:iCs/>
          <w:color w:val="808080" w:themeColor="background1" w:themeShade="80"/>
        </w:rPr>
        <w:t xml:space="preserve">01.01.2021-31.12.2021 </w:t>
      </w:r>
      <w:r w:rsidR="00DA7DD9" w:rsidRPr="00A13709">
        <w:rPr>
          <w:i/>
          <w:color w:val="808080" w:themeColor="background1" w:themeShade="80"/>
        </w:rPr>
        <w:t>gas days</w:t>
      </w:r>
    </w:p>
    <w:p w14:paraId="41FE255D" w14:textId="7735799D" w:rsidR="00EB3CBE" w:rsidRPr="00A13709" w:rsidRDefault="00EB3CBE" w:rsidP="00EB3CBE">
      <w:pPr>
        <w:jc w:val="both"/>
        <w:rPr>
          <w:i/>
          <w:iCs/>
          <w:color w:val="808080" w:themeColor="background1" w:themeShade="80"/>
        </w:rPr>
      </w:pPr>
      <w:r w:rsidRPr="00A13709">
        <w:rPr>
          <w:i/>
          <w:iCs/>
          <w:color w:val="808080" w:themeColor="background1" w:themeShade="80"/>
        </w:rPr>
        <w:t xml:space="preserve">“Pi” </w:t>
      </w:r>
      <w:r w:rsidR="009D71F3" w:rsidRPr="00A13709">
        <w:rPr>
          <w:i/>
          <w:color w:val="808080" w:themeColor="background1" w:themeShade="80"/>
        </w:rPr>
        <w:t>is the price of a single transaction</w:t>
      </w:r>
    </w:p>
    <w:p w14:paraId="4DEC4257" w14:textId="47FCCDD5" w:rsidR="00EB3CBE" w:rsidRPr="00A13709" w:rsidRDefault="00EB3CBE" w:rsidP="00EB3CBE">
      <w:pPr>
        <w:jc w:val="both"/>
        <w:rPr>
          <w:i/>
          <w:iCs/>
          <w:color w:val="808080" w:themeColor="background1" w:themeShade="80"/>
        </w:rPr>
      </w:pPr>
      <w:r w:rsidRPr="00A13709">
        <w:rPr>
          <w:i/>
          <w:iCs/>
          <w:color w:val="808080" w:themeColor="background1" w:themeShade="80"/>
        </w:rPr>
        <w:t xml:space="preserve">“Ci” </w:t>
      </w:r>
      <w:r w:rsidR="00BE65ED" w:rsidRPr="00A13709">
        <w:rPr>
          <w:i/>
          <w:color w:val="808080" w:themeColor="background1" w:themeShade="80"/>
        </w:rPr>
        <w:t>is the quantity expressed in number of MWh, related to the single transaction</w:t>
      </w:r>
    </w:p>
    <w:p w14:paraId="7BB9F079" w14:textId="2618683A" w:rsidR="00EB3CBE" w:rsidRPr="00A13709" w:rsidRDefault="00EB3CBE" w:rsidP="00EB3CBE">
      <w:pPr>
        <w:jc w:val="both"/>
        <w:rPr>
          <w:i/>
          <w:iCs/>
          <w:color w:val="808080" w:themeColor="background1" w:themeShade="80"/>
        </w:rPr>
      </w:pPr>
      <w:r w:rsidRPr="00A13709">
        <w:rPr>
          <w:i/>
          <w:iCs/>
          <w:color w:val="808080" w:themeColor="background1" w:themeShade="80"/>
        </w:rPr>
        <w:t xml:space="preserve">“n” </w:t>
      </w:r>
      <w:r w:rsidR="00BE65ED" w:rsidRPr="00A13709">
        <w:rPr>
          <w:i/>
          <w:color w:val="808080" w:themeColor="background1" w:themeShade="80"/>
        </w:rPr>
        <w:t>is the total number of transactions concluded on the market segment for the gas year 2021</w:t>
      </w:r>
    </w:p>
    <w:p w14:paraId="66E825E9" w14:textId="758B276C" w:rsidR="00DE16F6" w:rsidRPr="00A13709" w:rsidRDefault="00EB3CBE" w:rsidP="00DE16F6">
      <w:pPr>
        <w:jc w:val="both"/>
        <w:rPr>
          <w:i/>
          <w:iCs/>
          <w:color w:val="808080" w:themeColor="background1" w:themeShade="80"/>
        </w:rPr>
      </w:pPr>
      <w:r w:rsidRPr="00A13709">
        <w:rPr>
          <w:i/>
          <w:iCs/>
          <w:color w:val="808080" w:themeColor="background1" w:themeShade="80"/>
        </w:rPr>
        <w:t xml:space="preserve">“i” </w:t>
      </w:r>
      <w:r w:rsidR="00BE65ED" w:rsidRPr="00A13709">
        <w:rPr>
          <w:i/>
          <w:color w:val="808080" w:themeColor="background1" w:themeShade="80"/>
        </w:rPr>
        <w:t xml:space="preserve">identifies the transaction registered in the </w:t>
      </w:r>
      <w:r w:rsidR="00B35146">
        <w:rPr>
          <w:i/>
          <w:color w:val="808080" w:themeColor="background1" w:themeShade="80"/>
        </w:rPr>
        <w:t>BRM EST</w:t>
      </w:r>
      <w:r w:rsidR="00BE65ED" w:rsidRPr="00A13709">
        <w:rPr>
          <w:i/>
          <w:color w:val="808080" w:themeColor="background1" w:themeShade="80"/>
        </w:rPr>
        <w:t xml:space="preserve"> trading system for the gas year 2021</w:t>
      </w:r>
    </w:p>
    <w:p w14:paraId="0F2BA59D" w14:textId="4F48D21D" w:rsidR="00EB3CBE" w:rsidRPr="00A13709" w:rsidRDefault="00EB3CBE" w:rsidP="00DE16F6">
      <w:pPr>
        <w:jc w:val="both"/>
        <w:rPr>
          <w:i/>
          <w:iCs/>
          <w:color w:val="808080" w:themeColor="background1" w:themeShade="80"/>
        </w:rPr>
      </w:pPr>
      <w:r w:rsidRPr="00A13709">
        <w:rPr>
          <w:i/>
          <w:iCs/>
          <w:color w:val="808080" w:themeColor="background1" w:themeShade="80"/>
        </w:rPr>
        <w:t>“</w:t>
      </w:r>
      <w:r w:rsidR="00DE16F6" w:rsidRPr="00A13709">
        <w:rPr>
          <w:i/>
          <w:iCs/>
          <w:color w:val="808080" w:themeColor="background1" w:themeShade="80"/>
        </w:rPr>
        <w:t>FW</w:t>
      </w:r>
      <w:r w:rsidRPr="00A13709">
        <w:rPr>
          <w:i/>
          <w:iCs/>
          <w:color w:val="808080" w:themeColor="background1" w:themeShade="80"/>
        </w:rPr>
        <w:t>” –</w:t>
      </w:r>
      <w:r w:rsidR="00BE65ED" w:rsidRPr="00A13709">
        <w:t xml:space="preserve"> </w:t>
      </w:r>
      <w:r w:rsidR="00B35146">
        <w:rPr>
          <w:i/>
          <w:color w:val="808080" w:themeColor="background1" w:themeShade="80"/>
        </w:rPr>
        <w:t>acronym</w:t>
      </w:r>
      <w:r w:rsidR="00BE65ED" w:rsidRPr="00A13709">
        <w:rPr>
          <w:i/>
          <w:color w:val="808080" w:themeColor="background1" w:themeShade="80"/>
        </w:rPr>
        <w:t xml:space="preserve"> for forward markets</w:t>
      </w:r>
      <w:r w:rsidR="00E10254" w:rsidRPr="00A13709">
        <w:rPr>
          <w:i/>
          <w:color w:val="808080" w:themeColor="background1" w:themeShade="80"/>
        </w:rPr>
        <w:t>.</w:t>
      </w:r>
    </w:p>
    <w:p w14:paraId="477BBD7F" w14:textId="77777777" w:rsidR="00EB3CBE" w:rsidRPr="00A13709" w:rsidRDefault="00EB3CBE" w:rsidP="00986DB1">
      <w:pPr>
        <w:jc w:val="both"/>
        <w:rPr>
          <w:b/>
          <w:bCs/>
          <w:color w:val="FF0000"/>
        </w:rPr>
      </w:pPr>
    </w:p>
    <w:p w14:paraId="1B14D81D" w14:textId="77777777" w:rsidR="003F5C00" w:rsidRPr="00A13709" w:rsidRDefault="003F5C00" w:rsidP="00986DB1">
      <w:pPr>
        <w:jc w:val="both"/>
        <w:rPr>
          <w:b/>
          <w:bCs/>
          <w:color w:val="FF0000"/>
        </w:rPr>
      </w:pPr>
    </w:p>
    <w:p w14:paraId="62CC0E8B" w14:textId="4BD404FF" w:rsidR="00501C16" w:rsidRPr="00A13709" w:rsidRDefault="00E10254" w:rsidP="00501C16">
      <w:pPr>
        <w:pStyle w:val="ListParagraph"/>
        <w:numPr>
          <w:ilvl w:val="0"/>
          <w:numId w:val="1"/>
        </w:numPr>
        <w:jc w:val="both"/>
        <w:rPr>
          <w:b/>
          <w:bCs/>
          <w:color w:val="FF0000"/>
        </w:rPr>
      </w:pPr>
      <w:r w:rsidRPr="00A13709">
        <w:rPr>
          <w:b/>
        </w:rPr>
        <w:t>Specific calculation methodology for the</w:t>
      </w:r>
      <w:r w:rsidRPr="00A13709">
        <w:t xml:space="preserve"> </w:t>
      </w:r>
      <w:r w:rsidR="00816DCD">
        <w:rPr>
          <w:b/>
          <w:bCs/>
          <w:color w:val="FF0000"/>
        </w:rPr>
        <w:t>MDGAS</w:t>
      </w:r>
      <w:r w:rsidR="00501C16" w:rsidRPr="00A13709">
        <w:rPr>
          <w:b/>
          <w:bCs/>
          <w:color w:val="FF0000"/>
        </w:rPr>
        <w:t>_</w:t>
      </w:r>
      <w:r w:rsidR="00B35146">
        <w:rPr>
          <w:b/>
          <w:bCs/>
          <w:color w:val="FF0000"/>
        </w:rPr>
        <w:t>OTC</w:t>
      </w:r>
      <w:r w:rsidRPr="00A13709">
        <w:rPr>
          <w:b/>
          <w:bCs/>
          <w:color w:val="FF0000"/>
        </w:rPr>
        <w:t xml:space="preserve"> </w:t>
      </w:r>
      <w:r w:rsidRPr="00A13709">
        <w:rPr>
          <w:b/>
        </w:rPr>
        <w:t>index</w:t>
      </w:r>
    </w:p>
    <w:p w14:paraId="4956CB87" w14:textId="49ADA33B" w:rsidR="00501C16" w:rsidRPr="00A13709" w:rsidRDefault="00501C16" w:rsidP="00501C16">
      <w:pPr>
        <w:pStyle w:val="ListParagraph"/>
        <w:jc w:val="both"/>
        <w:rPr>
          <w:b/>
          <w:bCs/>
        </w:rPr>
      </w:pPr>
    </w:p>
    <w:p w14:paraId="4FA09CC6" w14:textId="77777777" w:rsidR="00B35146" w:rsidRPr="00B35146" w:rsidRDefault="00B35146" w:rsidP="00B35146">
      <w:pPr>
        <w:jc w:val="both"/>
        <w:rPr>
          <w:bCs/>
        </w:rPr>
      </w:pPr>
      <w:r w:rsidRPr="00B35146">
        <w:rPr>
          <w:bCs/>
        </w:rPr>
        <w:t>The delivery periods for which indices are calculated are: month, quarter, semester and calendar year, gas season and gas year.</w:t>
      </w:r>
    </w:p>
    <w:p w14:paraId="5FAB391C" w14:textId="77777777" w:rsidR="00B35146" w:rsidRPr="00B35146" w:rsidRDefault="00B35146" w:rsidP="00B35146">
      <w:pPr>
        <w:jc w:val="both"/>
        <w:rPr>
          <w:bCs/>
        </w:rPr>
      </w:pPr>
      <w:r w:rsidRPr="00B35146">
        <w:rPr>
          <w:bCs/>
        </w:rPr>
        <w:t>The calculation frequency is daily and the calculation model is described for a certain trading day called day T in which transactions are concluded on all BRM EST platforms with medium and long-term products with standard delivery periods, fixed transaction price and delivery in constant profile.</w:t>
      </w:r>
    </w:p>
    <w:p w14:paraId="46BAD790" w14:textId="77777777" w:rsidR="00B35146" w:rsidRPr="00B35146" w:rsidRDefault="00B35146" w:rsidP="00B35146">
      <w:pPr>
        <w:jc w:val="both"/>
        <w:rPr>
          <w:bCs/>
        </w:rPr>
      </w:pPr>
      <w:r w:rsidRPr="00B35146">
        <w:rPr>
          <w:bCs/>
        </w:rPr>
        <w:t>The published indices for the periods have the following terminology:</w:t>
      </w:r>
    </w:p>
    <w:p w14:paraId="08EC9AD7" w14:textId="77777777" w:rsidR="00B35146" w:rsidRPr="00B35146" w:rsidRDefault="00B35146" w:rsidP="00B35146">
      <w:pPr>
        <w:jc w:val="both"/>
        <w:rPr>
          <w:bCs/>
        </w:rPr>
      </w:pPr>
      <w:r w:rsidRPr="00A11550">
        <w:rPr>
          <w:b/>
          <w:color w:val="FF0000"/>
        </w:rPr>
        <w:t>MDGAS_OTC</w:t>
      </w:r>
      <w:r w:rsidRPr="00A11550">
        <w:rPr>
          <w:bCs/>
          <w:color w:val="FF0000"/>
        </w:rPr>
        <w:t xml:space="preserve"> </w:t>
      </w:r>
      <w:proofErr w:type="spellStart"/>
      <w:r w:rsidRPr="00A11550">
        <w:rPr>
          <w:b/>
        </w:rPr>
        <w:t>Month_YYYY</w:t>
      </w:r>
      <w:proofErr w:type="spellEnd"/>
      <w:r w:rsidRPr="00A11550">
        <w:rPr>
          <w:b/>
        </w:rPr>
        <w:t>,</w:t>
      </w:r>
      <w:r w:rsidRPr="00B35146">
        <w:rPr>
          <w:bCs/>
        </w:rPr>
        <w:t xml:space="preserve"> index for a specific delivery calendar month. Example: December_2020, January_2021, February_2021, etc.</w:t>
      </w:r>
    </w:p>
    <w:p w14:paraId="77FCD051" w14:textId="77777777" w:rsidR="00B35146" w:rsidRPr="00B35146" w:rsidRDefault="00B35146" w:rsidP="00B35146">
      <w:pPr>
        <w:jc w:val="both"/>
        <w:rPr>
          <w:bCs/>
        </w:rPr>
      </w:pPr>
      <w:r w:rsidRPr="00A11550">
        <w:rPr>
          <w:b/>
          <w:color w:val="FF0000"/>
        </w:rPr>
        <w:t>MDGAS_OTC</w:t>
      </w:r>
      <w:r w:rsidRPr="00A11550">
        <w:rPr>
          <w:bCs/>
          <w:color w:val="FF0000"/>
        </w:rPr>
        <w:t xml:space="preserve"> </w:t>
      </w:r>
      <w:r w:rsidRPr="00A11550">
        <w:rPr>
          <w:b/>
        </w:rPr>
        <w:t>Quarter X_YYYY</w:t>
      </w:r>
      <w:r w:rsidRPr="00B35146">
        <w:rPr>
          <w:bCs/>
        </w:rPr>
        <w:t xml:space="preserve">, index for a specific delivery calendar quarter. Example: Quarter 4_2020, Quarter 1_2021, Quarter 2_2021, etc. </w:t>
      </w:r>
    </w:p>
    <w:p w14:paraId="38D0A5B1" w14:textId="77777777" w:rsidR="00B35146" w:rsidRPr="00B35146" w:rsidRDefault="00B35146" w:rsidP="00B35146">
      <w:pPr>
        <w:jc w:val="both"/>
        <w:rPr>
          <w:bCs/>
        </w:rPr>
      </w:pPr>
      <w:r w:rsidRPr="00A11550">
        <w:rPr>
          <w:b/>
          <w:color w:val="FF0000"/>
        </w:rPr>
        <w:t xml:space="preserve">MDGAS_OTC </w:t>
      </w:r>
      <w:r w:rsidRPr="00A11550">
        <w:rPr>
          <w:b/>
        </w:rPr>
        <w:t>Semester X_YYYY</w:t>
      </w:r>
      <w:r w:rsidRPr="00B35146">
        <w:rPr>
          <w:bCs/>
        </w:rPr>
        <w:t xml:space="preserve">, index for a specific delivery calendar semester. Example: Semester 2_2020, Semester 1_2021, Semester 2_2021, etc. </w:t>
      </w:r>
    </w:p>
    <w:p w14:paraId="3771514A" w14:textId="77777777" w:rsidR="00B35146" w:rsidRPr="00B35146" w:rsidRDefault="00B35146" w:rsidP="00B35146">
      <w:pPr>
        <w:jc w:val="both"/>
        <w:rPr>
          <w:bCs/>
        </w:rPr>
      </w:pPr>
      <w:r w:rsidRPr="00A11550">
        <w:rPr>
          <w:b/>
          <w:color w:val="FF0000"/>
        </w:rPr>
        <w:t xml:space="preserve">MDGAS_OTC </w:t>
      </w:r>
      <w:r w:rsidRPr="00A11550">
        <w:rPr>
          <w:b/>
        </w:rPr>
        <w:t xml:space="preserve">Calendar </w:t>
      </w:r>
      <w:proofErr w:type="spellStart"/>
      <w:r w:rsidRPr="00A11550">
        <w:rPr>
          <w:b/>
        </w:rPr>
        <w:t>year_YYYY</w:t>
      </w:r>
      <w:proofErr w:type="spellEnd"/>
      <w:r w:rsidRPr="00B35146">
        <w:rPr>
          <w:bCs/>
        </w:rPr>
        <w:t>, index for a specific calendar year of delivery. Example: Calendar year_2020, Calendar year_2021, etc</w:t>
      </w:r>
    </w:p>
    <w:p w14:paraId="1148637F" w14:textId="77777777" w:rsidR="00B35146" w:rsidRPr="00B35146" w:rsidRDefault="00B35146" w:rsidP="00B35146">
      <w:pPr>
        <w:jc w:val="both"/>
        <w:rPr>
          <w:bCs/>
        </w:rPr>
      </w:pPr>
      <w:r w:rsidRPr="00A11550">
        <w:rPr>
          <w:b/>
          <w:color w:val="FF0000"/>
        </w:rPr>
        <w:t xml:space="preserve">MDGAS_OTC </w:t>
      </w:r>
      <w:r w:rsidRPr="00A11550">
        <w:rPr>
          <w:b/>
        </w:rPr>
        <w:t xml:space="preserve">Hot/cold gas </w:t>
      </w:r>
      <w:proofErr w:type="spellStart"/>
      <w:r w:rsidRPr="00A11550">
        <w:rPr>
          <w:b/>
        </w:rPr>
        <w:t>season_YYYY</w:t>
      </w:r>
      <w:proofErr w:type="spellEnd"/>
      <w:r w:rsidRPr="00B35146">
        <w:rPr>
          <w:bCs/>
        </w:rPr>
        <w:t>, index for a specific gas delivery season. Example: Cold gas season_2020, Hot gas season_2021, Cold gas season_2021. etc.</w:t>
      </w:r>
    </w:p>
    <w:p w14:paraId="211DA9EC" w14:textId="77777777" w:rsidR="00B35146" w:rsidRPr="00B35146" w:rsidRDefault="00B35146" w:rsidP="00B35146">
      <w:pPr>
        <w:jc w:val="both"/>
        <w:rPr>
          <w:bCs/>
        </w:rPr>
      </w:pPr>
      <w:r w:rsidRPr="00A11550">
        <w:rPr>
          <w:b/>
          <w:color w:val="FF0000"/>
        </w:rPr>
        <w:t xml:space="preserve">MDGAS_OTC </w:t>
      </w:r>
      <w:r w:rsidRPr="00A11550">
        <w:rPr>
          <w:b/>
        </w:rPr>
        <w:t xml:space="preserve">Gas </w:t>
      </w:r>
      <w:proofErr w:type="spellStart"/>
      <w:r w:rsidRPr="00A11550">
        <w:rPr>
          <w:b/>
        </w:rPr>
        <w:t>year_YYYY</w:t>
      </w:r>
      <w:proofErr w:type="spellEnd"/>
      <w:r w:rsidRPr="00B35146">
        <w:rPr>
          <w:bCs/>
        </w:rPr>
        <w:t xml:space="preserve"> index for a specific gas year of delivery. Example: Cold gas season_2020, Hot gas season_2021, Cold gas season_2021. etc.</w:t>
      </w:r>
    </w:p>
    <w:p w14:paraId="0A0C91B6" w14:textId="77777777" w:rsidR="00B35146" w:rsidRPr="00B35146" w:rsidRDefault="00B35146" w:rsidP="00B35146">
      <w:pPr>
        <w:jc w:val="both"/>
        <w:rPr>
          <w:bCs/>
        </w:rPr>
      </w:pPr>
      <w:r w:rsidRPr="00B35146">
        <w:rPr>
          <w:bCs/>
        </w:rPr>
        <w:t>Where:</w:t>
      </w:r>
    </w:p>
    <w:p w14:paraId="0D5436D4" w14:textId="1F3EB7D4" w:rsidR="00317C86" w:rsidRPr="00B35146" w:rsidRDefault="00B35146" w:rsidP="00B35146">
      <w:pPr>
        <w:jc w:val="both"/>
        <w:rPr>
          <w:bCs/>
        </w:rPr>
      </w:pPr>
      <w:r w:rsidRPr="00A11550">
        <w:rPr>
          <w:b/>
          <w:color w:val="FF0000"/>
        </w:rPr>
        <w:t>"MDGAS_OTC"</w:t>
      </w:r>
      <w:r w:rsidRPr="00A11550">
        <w:rPr>
          <w:bCs/>
          <w:color w:val="FF0000"/>
        </w:rPr>
        <w:t xml:space="preserve"> </w:t>
      </w:r>
      <w:r w:rsidRPr="00B35146">
        <w:rPr>
          <w:bCs/>
        </w:rPr>
        <w:t>represents the market segment identifier of medium and long-term products "YYYY" represents the calendar year in which the delivery related to the product delivery period begins.</w:t>
      </w:r>
    </w:p>
    <w:p w14:paraId="64880FFA" w14:textId="77777777" w:rsidR="00A11550" w:rsidRPr="00A11550" w:rsidRDefault="00A11550" w:rsidP="00A11550">
      <w:pPr>
        <w:jc w:val="center"/>
        <w:rPr>
          <w:b/>
        </w:rPr>
      </w:pPr>
      <w:r w:rsidRPr="00A11550">
        <w:rPr>
          <w:b/>
        </w:rPr>
        <w:t>Calculation method:</w:t>
      </w:r>
    </w:p>
    <w:p w14:paraId="52D9E59A" w14:textId="77777777" w:rsidR="00A11550" w:rsidRPr="00A11550" w:rsidRDefault="00A11550" w:rsidP="00A11550">
      <w:pPr>
        <w:jc w:val="both"/>
        <w:rPr>
          <w:bCs/>
        </w:rPr>
      </w:pPr>
      <w:r w:rsidRPr="00A11550">
        <w:rPr>
          <w:b/>
        </w:rPr>
        <w:tab/>
      </w:r>
      <w:r w:rsidRPr="00A11550">
        <w:rPr>
          <w:bCs/>
        </w:rPr>
        <w:t xml:space="preserve">Step 1 – identification of all Forward and Futures type transactions that have delivery in a constant profile and fixed price of the transaction and a specific delivery period: month, quarter, semester, gas season, gas year or calendar year. </w:t>
      </w:r>
    </w:p>
    <w:p w14:paraId="12F3520A" w14:textId="77777777" w:rsidR="00A11550" w:rsidRPr="00A11550" w:rsidRDefault="00A11550" w:rsidP="00A11550">
      <w:pPr>
        <w:jc w:val="both"/>
        <w:rPr>
          <w:bCs/>
        </w:rPr>
      </w:pPr>
      <w:r w:rsidRPr="00A11550">
        <w:rPr>
          <w:bCs/>
        </w:rPr>
        <w:tab/>
        <w:t>Step 2 - Calculation on a daily basis of the weighted average price for the transactions concluded on that day for the products with the delivery period tracked by the index.</w:t>
      </w:r>
    </w:p>
    <w:p w14:paraId="3E1324D3" w14:textId="77777777" w:rsidR="00A11550" w:rsidRPr="00A11550" w:rsidRDefault="00A11550" w:rsidP="00A11550">
      <w:pPr>
        <w:jc w:val="both"/>
        <w:rPr>
          <w:bCs/>
        </w:rPr>
      </w:pPr>
      <w:r w:rsidRPr="00A11550">
        <w:rPr>
          <w:bCs/>
        </w:rPr>
        <w:tab/>
        <w:t>Step 3 – Update the price index value at the time of a change.</w:t>
      </w:r>
    </w:p>
    <w:p w14:paraId="509579B8" w14:textId="77777777" w:rsidR="00A11550" w:rsidRPr="00A11550" w:rsidRDefault="00A11550" w:rsidP="00A11550">
      <w:pPr>
        <w:jc w:val="both"/>
        <w:rPr>
          <w:bCs/>
        </w:rPr>
      </w:pPr>
      <w:r w:rsidRPr="00A11550">
        <w:rPr>
          <w:bCs/>
        </w:rPr>
        <w:t>Example for products with a delivery period of calendar year 2021</w:t>
      </w:r>
    </w:p>
    <w:p w14:paraId="116B5F97" w14:textId="77777777" w:rsidR="00A11550" w:rsidRPr="00A11550" w:rsidRDefault="00A11550" w:rsidP="00A11550">
      <w:pPr>
        <w:ind w:firstLine="720"/>
        <w:jc w:val="both"/>
        <w:rPr>
          <w:b/>
        </w:rPr>
      </w:pPr>
      <w:r w:rsidRPr="00A11550">
        <w:rPr>
          <w:b/>
          <w:color w:val="FF0000"/>
        </w:rPr>
        <w:t xml:space="preserve">MDGAS_OTC </w:t>
      </w:r>
      <w:r w:rsidRPr="00A11550">
        <w:rPr>
          <w:b/>
        </w:rPr>
        <w:t>Calendar year_2021= (∑_(i=0)^n</w:t>
      </w:r>
      <w:r w:rsidRPr="00A11550">
        <w:rPr>
          <w:rFonts w:ascii="Arial" w:hAnsi="Arial" w:cs="Arial"/>
          <w:b/>
        </w:rPr>
        <w:t>▒</w:t>
      </w:r>
      <w:r w:rsidRPr="00A11550">
        <w:rPr>
          <w:rFonts w:ascii="Cambria Math" w:eastAsia="Cambria Math" w:hAnsi="Cambria Math" w:cs="Cambria Math" w:hint="eastAsia"/>
          <w:b/>
        </w:rPr>
        <w:t>〖</w:t>
      </w:r>
      <w:r w:rsidRPr="00A11550">
        <w:rPr>
          <w:b/>
        </w:rPr>
        <w:t>Pi*Ci</w:t>
      </w:r>
      <w:r w:rsidRPr="00A11550">
        <w:rPr>
          <w:rFonts w:ascii="Cambria Math" w:eastAsia="Cambria Math" w:hAnsi="Cambria Math" w:cs="Cambria Math" w:hint="eastAsia"/>
          <w:b/>
        </w:rPr>
        <w:t>〗</w:t>
      </w:r>
      <w:r w:rsidRPr="00A11550">
        <w:rPr>
          <w:b/>
        </w:rPr>
        <w:t>)/(∑_(i=0)^</w:t>
      </w:r>
      <w:proofErr w:type="spellStart"/>
      <w:r w:rsidRPr="00A11550">
        <w:rPr>
          <w:b/>
        </w:rPr>
        <w:t>n</w:t>
      </w:r>
      <w:r w:rsidRPr="00A11550">
        <w:rPr>
          <w:rFonts w:ascii="Arial" w:hAnsi="Arial" w:cs="Arial"/>
          <w:b/>
        </w:rPr>
        <w:t>▒</w:t>
      </w:r>
      <w:r w:rsidRPr="00A11550">
        <w:rPr>
          <w:b/>
        </w:rPr>
        <w:t>Ci</w:t>
      </w:r>
      <w:proofErr w:type="spellEnd"/>
      <w:r w:rsidRPr="00A11550">
        <w:rPr>
          <w:b/>
        </w:rPr>
        <w:t>),</w:t>
      </w:r>
    </w:p>
    <w:p w14:paraId="5F3ECBDE" w14:textId="77777777" w:rsidR="00A11550" w:rsidRPr="00A11550" w:rsidRDefault="00A11550" w:rsidP="00A11550">
      <w:pPr>
        <w:jc w:val="both"/>
        <w:rPr>
          <w:bCs/>
        </w:rPr>
      </w:pPr>
      <w:r w:rsidRPr="00A11550">
        <w:rPr>
          <w:bCs/>
        </w:rPr>
        <w:t>Where:</w:t>
      </w:r>
    </w:p>
    <w:p w14:paraId="071FDD57" w14:textId="77777777" w:rsidR="00A11550" w:rsidRPr="00A11550" w:rsidRDefault="00A11550" w:rsidP="00A11550">
      <w:pPr>
        <w:jc w:val="both"/>
        <w:rPr>
          <w:i/>
          <w:color w:val="808080" w:themeColor="background1" w:themeShade="80"/>
        </w:rPr>
      </w:pPr>
      <w:r w:rsidRPr="00A11550">
        <w:rPr>
          <w:i/>
          <w:color w:val="808080" w:themeColor="background1" w:themeShade="80"/>
        </w:rPr>
        <w:lastRenderedPageBreak/>
        <w:t>"Calendar year _2021" represents the delivery period related to the gas year 2021, respectively 01.01.2021-31.12.2021, gas days.</w:t>
      </w:r>
    </w:p>
    <w:p w14:paraId="6C7B1657" w14:textId="77777777" w:rsidR="00A11550" w:rsidRPr="00A11550" w:rsidRDefault="00A11550" w:rsidP="00A11550">
      <w:pPr>
        <w:jc w:val="both"/>
        <w:rPr>
          <w:i/>
          <w:color w:val="808080" w:themeColor="background1" w:themeShade="80"/>
        </w:rPr>
      </w:pPr>
      <w:r w:rsidRPr="00A11550">
        <w:rPr>
          <w:i/>
          <w:color w:val="808080" w:themeColor="background1" w:themeShade="80"/>
        </w:rPr>
        <w:t>"Pi" represents the price related to a single transaction.</w:t>
      </w:r>
    </w:p>
    <w:p w14:paraId="4914E93D" w14:textId="77777777" w:rsidR="00A11550" w:rsidRPr="00A11550" w:rsidRDefault="00A11550" w:rsidP="00A11550">
      <w:pPr>
        <w:jc w:val="both"/>
        <w:rPr>
          <w:i/>
          <w:color w:val="808080" w:themeColor="background1" w:themeShade="80"/>
        </w:rPr>
      </w:pPr>
      <w:r w:rsidRPr="00A11550">
        <w:rPr>
          <w:i/>
          <w:color w:val="808080" w:themeColor="background1" w:themeShade="80"/>
        </w:rPr>
        <w:t>"Ci" represents the quantity expressed in MWh, related to the single transaction.</w:t>
      </w:r>
    </w:p>
    <w:p w14:paraId="424496B6" w14:textId="77777777" w:rsidR="00A11550" w:rsidRPr="00A11550" w:rsidRDefault="00A11550" w:rsidP="00A11550">
      <w:pPr>
        <w:jc w:val="both"/>
        <w:rPr>
          <w:i/>
          <w:color w:val="808080" w:themeColor="background1" w:themeShade="80"/>
        </w:rPr>
      </w:pPr>
      <w:r w:rsidRPr="00A11550">
        <w:rPr>
          <w:i/>
          <w:color w:val="808080" w:themeColor="background1" w:themeShade="80"/>
        </w:rPr>
        <w:t>"n" represents the total number of transactions concluded on the market segment for the gas year 2021</w:t>
      </w:r>
    </w:p>
    <w:p w14:paraId="5C569DE1" w14:textId="77777777" w:rsidR="00A11550" w:rsidRPr="00A11550" w:rsidRDefault="00A11550" w:rsidP="00A11550">
      <w:pPr>
        <w:jc w:val="both"/>
        <w:rPr>
          <w:i/>
          <w:color w:val="808080" w:themeColor="background1" w:themeShade="80"/>
        </w:rPr>
      </w:pPr>
      <w:r w:rsidRPr="00A11550">
        <w:rPr>
          <w:i/>
          <w:color w:val="808080" w:themeColor="background1" w:themeShade="80"/>
        </w:rPr>
        <w:t>"i" identifies the transaction registered in the BRM EST trading system for the gas year 2021</w:t>
      </w:r>
    </w:p>
    <w:p w14:paraId="78A07BDA" w14:textId="01F3B1CF" w:rsidR="00317C86" w:rsidRPr="00A11550" w:rsidRDefault="00A11550" w:rsidP="00A11550">
      <w:pPr>
        <w:jc w:val="both"/>
        <w:rPr>
          <w:i/>
          <w:color w:val="808080" w:themeColor="background1" w:themeShade="80"/>
        </w:rPr>
      </w:pPr>
      <w:r w:rsidRPr="00A11550">
        <w:rPr>
          <w:i/>
          <w:color w:val="808080" w:themeColor="background1" w:themeShade="80"/>
        </w:rPr>
        <w:t xml:space="preserve"> "OTC" - acronym for the market of bilateral contracts for consumers (in English: Over The Counter).</w:t>
      </w:r>
    </w:p>
    <w:p w14:paraId="6485A283" w14:textId="77777777" w:rsidR="00A11550" w:rsidRDefault="00A11550" w:rsidP="0045740B">
      <w:pPr>
        <w:jc w:val="both"/>
        <w:rPr>
          <w:b/>
          <w:color w:val="FF0000"/>
        </w:rPr>
      </w:pPr>
    </w:p>
    <w:p w14:paraId="2846EBA2" w14:textId="10C8A175" w:rsidR="00A91532" w:rsidRPr="00A13709" w:rsidRDefault="006F468F" w:rsidP="0045740B">
      <w:pPr>
        <w:jc w:val="both"/>
        <w:rPr>
          <w:b/>
          <w:bCs/>
          <w:color w:val="FF0000"/>
        </w:rPr>
      </w:pPr>
      <w:r w:rsidRPr="00A13709">
        <w:rPr>
          <w:b/>
          <w:color w:val="FF0000"/>
        </w:rPr>
        <w:t xml:space="preserve">FINAL NOTE: The list of published indices and the calculation methodology is established by the </w:t>
      </w:r>
      <w:r w:rsidR="00B35146">
        <w:rPr>
          <w:b/>
          <w:color w:val="FF0000"/>
        </w:rPr>
        <w:t>BRM EST</w:t>
      </w:r>
      <w:r w:rsidRPr="00A13709">
        <w:rPr>
          <w:b/>
          <w:color w:val="FF0000"/>
        </w:rPr>
        <w:t xml:space="preserve"> and published periodically on the website</w:t>
      </w:r>
      <w:r w:rsidRPr="00A13709">
        <w:rPr>
          <w:color w:val="FF0000"/>
        </w:rPr>
        <w:t xml:space="preserve"> </w:t>
      </w:r>
      <w:hyperlink r:id="rId12" w:history="1">
        <w:r w:rsidR="00A11550" w:rsidRPr="00D84538">
          <w:rPr>
            <w:rStyle w:val="Hyperlink"/>
            <w:b/>
            <w:bCs/>
          </w:rPr>
          <w:t>www.brmeastenergy.md</w:t>
        </w:r>
      </w:hyperlink>
      <w:r w:rsidR="00A11550">
        <w:rPr>
          <w:b/>
          <w:bCs/>
          <w:color w:val="FF0000"/>
        </w:rPr>
        <w:t xml:space="preserve"> </w:t>
      </w:r>
      <w:r w:rsidR="0045740B" w:rsidRPr="00A13709">
        <w:rPr>
          <w:b/>
          <w:bCs/>
          <w:color w:val="FF0000"/>
        </w:rPr>
        <w:t>.</w:t>
      </w:r>
    </w:p>
    <w:sectPr w:rsidR="00A91532" w:rsidRPr="00A1370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A8CD" w14:textId="77777777" w:rsidR="00190FEC" w:rsidRDefault="00190FEC" w:rsidP="005454C2">
      <w:pPr>
        <w:spacing w:after="0" w:line="240" w:lineRule="auto"/>
      </w:pPr>
      <w:r>
        <w:separator/>
      </w:r>
    </w:p>
  </w:endnote>
  <w:endnote w:type="continuationSeparator" w:id="0">
    <w:p w14:paraId="4D89A4E0" w14:textId="77777777" w:rsidR="00190FEC" w:rsidRDefault="00190FEC" w:rsidP="0054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57152"/>
      <w:docPartObj>
        <w:docPartGallery w:val="Page Numbers (Bottom of Page)"/>
        <w:docPartUnique/>
      </w:docPartObj>
    </w:sdtPr>
    <w:sdtEndPr>
      <w:rPr>
        <w:noProof/>
      </w:rPr>
    </w:sdtEndPr>
    <w:sdtContent>
      <w:p w14:paraId="37BEFE91" w14:textId="119890B6" w:rsidR="00331F5C" w:rsidRDefault="00331F5C" w:rsidP="00317C86">
        <w:pPr>
          <w:pStyle w:val="Footer"/>
          <w:jc w:val="center"/>
        </w:pPr>
        <w:r>
          <w:fldChar w:fldCharType="begin"/>
        </w:r>
        <w:r>
          <w:instrText xml:space="preserve"> PAGE   \* MERGEFORMAT </w:instrText>
        </w:r>
        <w:r>
          <w:fldChar w:fldCharType="separate"/>
        </w:r>
        <w:r w:rsidR="00CF5A30">
          <w:rPr>
            <w:noProof/>
          </w:rPr>
          <w:t>4</w:t>
        </w:r>
        <w:r>
          <w:rPr>
            <w:noProof/>
          </w:rPr>
          <w:fldChar w:fldCharType="end"/>
        </w:r>
        <w:r>
          <w:rPr>
            <w:noProof/>
          </w:rPr>
          <w:t xml:space="preserve"> of 6</w:t>
        </w:r>
      </w:p>
    </w:sdtContent>
  </w:sdt>
  <w:p w14:paraId="409289E7" w14:textId="77777777" w:rsidR="00331F5C" w:rsidRDefault="0033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8EC0" w14:textId="77777777" w:rsidR="00190FEC" w:rsidRDefault="00190FEC" w:rsidP="005454C2">
      <w:pPr>
        <w:spacing w:after="0" w:line="240" w:lineRule="auto"/>
      </w:pPr>
      <w:r>
        <w:separator/>
      </w:r>
    </w:p>
  </w:footnote>
  <w:footnote w:type="continuationSeparator" w:id="0">
    <w:p w14:paraId="3CA09672" w14:textId="77777777" w:rsidR="00190FEC" w:rsidRDefault="00190FEC" w:rsidP="0054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1B22" w14:textId="67CC5D43" w:rsidR="00331F5C" w:rsidRPr="00E6690B" w:rsidRDefault="00331F5C" w:rsidP="00E6690B">
    <w:pPr>
      <w:pStyle w:val="Header"/>
      <w:jc w:val="right"/>
      <w:rPr>
        <w:b/>
        <w:bCs/>
        <w:color w:val="808080" w:themeColor="background1" w:themeShade="80"/>
        <w:sz w:val="16"/>
        <w:szCs w:val="16"/>
      </w:rPr>
    </w:pPr>
    <w:r>
      <w:rPr>
        <w:b/>
        <w:bCs/>
        <w:color w:val="808080" w:themeColor="background1" w:themeShade="80"/>
        <w:sz w:val="16"/>
        <w:szCs w:val="16"/>
      </w:rPr>
      <w:t>Version</w:t>
    </w:r>
    <w:r w:rsidRPr="00E6690B">
      <w:rPr>
        <w:b/>
        <w:bCs/>
        <w:color w:val="808080" w:themeColor="background1" w:themeShade="80"/>
        <w:sz w:val="16"/>
        <w:szCs w:val="16"/>
      </w:rPr>
      <w:t xml:space="preserve"> 01 </w:t>
    </w:r>
    <w:r>
      <w:rPr>
        <w:b/>
        <w:bCs/>
        <w:color w:val="808080" w:themeColor="background1" w:themeShade="80"/>
        <w:sz w:val="16"/>
        <w:szCs w:val="16"/>
      </w:rPr>
      <w:t>of</w:t>
    </w:r>
    <w:r w:rsidRPr="00E6690B">
      <w:rPr>
        <w:b/>
        <w:bCs/>
        <w:color w:val="808080" w:themeColor="background1" w:themeShade="80"/>
        <w:sz w:val="16"/>
        <w:szCs w:val="16"/>
      </w:rPr>
      <w:t xml:space="preserve"> </w:t>
    </w:r>
    <w:r w:rsidR="00816DCD">
      <w:rPr>
        <w:b/>
        <w:bCs/>
        <w:color w:val="808080" w:themeColor="background1" w:themeShade="80"/>
        <w:sz w:val="16"/>
        <w:szCs w:val="16"/>
      </w:rPr>
      <w:t>18</w:t>
    </w:r>
    <w:r w:rsidRPr="00E6690B">
      <w:rPr>
        <w:b/>
        <w:bCs/>
        <w:color w:val="808080" w:themeColor="background1" w:themeShade="80"/>
        <w:sz w:val="16"/>
        <w:szCs w:val="16"/>
      </w:rPr>
      <w:t>/</w:t>
    </w:r>
    <w:r w:rsidR="00816DCD">
      <w:rPr>
        <w:b/>
        <w:bCs/>
        <w:color w:val="808080" w:themeColor="background1" w:themeShade="80"/>
        <w:sz w:val="16"/>
        <w:szCs w:val="16"/>
      </w:rPr>
      <w:t>01</w:t>
    </w:r>
    <w:r w:rsidRPr="00E6690B">
      <w:rPr>
        <w:b/>
        <w:bCs/>
        <w:color w:val="808080" w:themeColor="background1" w:themeShade="80"/>
        <w:sz w:val="16"/>
        <w:szCs w:val="16"/>
      </w:rPr>
      <w:t>/202</w:t>
    </w:r>
    <w:r w:rsidR="00816DCD">
      <w:rPr>
        <w:b/>
        <w:bCs/>
        <w:color w:val="808080" w:themeColor="background1" w:themeShade="80"/>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5DD5"/>
    <w:multiLevelType w:val="hybridMultilevel"/>
    <w:tmpl w:val="4308DEA8"/>
    <w:lvl w:ilvl="0" w:tplc="19620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03A5D"/>
    <w:multiLevelType w:val="hybridMultilevel"/>
    <w:tmpl w:val="D1A2B3C0"/>
    <w:lvl w:ilvl="0" w:tplc="42EE34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82B58"/>
    <w:multiLevelType w:val="hybridMultilevel"/>
    <w:tmpl w:val="D9A2A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A32F33"/>
    <w:multiLevelType w:val="hybridMultilevel"/>
    <w:tmpl w:val="4308DEA8"/>
    <w:lvl w:ilvl="0" w:tplc="19620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7827BC"/>
    <w:multiLevelType w:val="hybridMultilevel"/>
    <w:tmpl w:val="8708D7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8C75C0"/>
    <w:multiLevelType w:val="hybridMultilevel"/>
    <w:tmpl w:val="6986C5E6"/>
    <w:lvl w:ilvl="0" w:tplc="7EB43D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E3EB0"/>
    <w:multiLevelType w:val="hybridMultilevel"/>
    <w:tmpl w:val="D9A2A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2762A"/>
    <w:multiLevelType w:val="hybridMultilevel"/>
    <w:tmpl w:val="46B27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44495">
    <w:abstractNumId w:val="1"/>
  </w:num>
  <w:num w:numId="2" w16cid:durableId="548107963">
    <w:abstractNumId w:val="2"/>
  </w:num>
  <w:num w:numId="3" w16cid:durableId="868838613">
    <w:abstractNumId w:val="6"/>
  </w:num>
  <w:num w:numId="4" w16cid:durableId="1751926776">
    <w:abstractNumId w:val="7"/>
  </w:num>
  <w:num w:numId="5" w16cid:durableId="1795562691">
    <w:abstractNumId w:val="4"/>
  </w:num>
  <w:num w:numId="6" w16cid:durableId="2025938906">
    <w:abstractNumId w:val="0"/>
  </w:num>
  <w:num w:numId="7" w16cid:durableId="1938252189">
    <w:abstractNumId w:val="3"/>
  </w:num>
  <w:num w:numId="8" w16cid:durableId="1458260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14"/>
    <w:rsid w:val="00001953"/>
    <w:rsid w:val="00002BF4"/>
    <w:rsid w:val="000036B5"/>
    <w:rsid w:val="000065CE"/>
    <w:rsid w:val="000124CF"/>
    <w:rsid w:val="000208E2"/>
    <w:rsid w:val="0002214E"/>
    <w:rsid w:val="00042917"/>
    <w:rsid w:val="00043184"/>
    <w:rsid w:val="00051805"/>
    <w:rsid w:val="000546DF"/>
    <w:rsid w:val="000603E9"/>
    <w:rsid w:val="0006080E"/>
    <w:rsid w:val="00074221"/>
    <w:rsid w:val="00084517"/>
    <w:rsid w:val="00086504"/>
    <w:rsid w:val="00086783"/>
    <w:rsid w:val="00090D0D"/>
    <w:rsid w:val="00092404"/>
    <w:rsid w:val="00093410"/>
    <w:rsid w:val="000A1B48"/>
    <w:rsid w:val="000A210E"/>
    <w:rsid w:val="000A2A5A"/>
    <w:rsid w:val="000A2A69"/>
    <w:rsid w:val="000B4405"/>
    <w:rsid w:val="000B44CA"/>
    <w:rsid w:val="000C1C1D"/>
    <w:rsid w:val="000D225D"/>
    <w:rsid w:val="000D6DCE"/>
    <w:rsid w:val="000E715D"/>
    <w:rsid w:val="000F373E"/>
    <w:rsid w:val="000F58F9"/>
    <w:rsid w:val="000F62F2"/>
    <w:rsid w:val="001107F1"/>
    <w:rsid w:val="00113021"/>
    <w:rsid w:val="00113DC8"/>
    <w:rsid w:val="0012310D"/>
    <w:rsid w:val="0012318A"/>
    <w:rsid w:val="00124535"/>
    <w:rsid w:val="00126653"/>
    <w:rsid w:val="00127F70"/>
    <w:rsid w:val="001411FF"/>
    <w:rsid w:val="00145455"/>
    <w:rsid w:val="001476D8"/>
    <w:rsid w:val="00152ADB"/>
    <w:rsid w:val="00164561"/>
    <w:rsid w:val="00170076"/>
    <w:rsid w:val="00174D0D"/>
    <w:rsid w:val="00180466"/>
    <w:rsid w:val="0018351D"/>
    <w:rsid w:val="00190FEC"/>
    <w:rsid w:val="0019135D"/>
    <w:rsid w:val="00194128"/>
    <w:rsid w:val="00197329"/>
    <w:rsid w:val="001976AE"/>
    <w:rsid w:val="001A0AE6"/>
    <w:rsid w:val="001A4AB8"/>
    <w:rsid w:val="001B46E1"/>
    <w:rsid w:val="001C23C1"/>
    <w:rsid w:val="001C260F"/>
    <w:rsid w:val="001C3263"/>
    <w:rsid w:val="001C3927"/>
    <w:rsid w:val="001D2529"/>
    <w:rsid w:val="001D3D2B"/>
    <w:rsid w:val="001E3044"/>
    <w:rsid w:val="001F3E33"/>
    <w:rsid w:val="001F49FC"/>
    <w:rsid w:val="001F5345"/>
    <w:rsid w:val="001F6DD0"/>
    <w:rsid w:val="00200CC3"/>
    <w:rsid w:val="00205C3D"/>
    <w:rsid w:val="00213180"/>
    <w:rsid w:val="002206E2"/>
    <w:rsid w:val="00230685"/>
    <w:rsid w:val="00230D69"/>
    <w:rsid w:val="00232C8D"/>
    <w:rsid w:val="00232CE7"/>
    <w:rsid w:val="0023590C"/>
    <w:rsid w:val="002435E6"/>
    <w:rsid w:val="00246825"/>
    <w:rsid w:val="00253CCC"/>
    <w:rsid w:val="00257E51"/>
    <w:rsid w:val="00262063"/>
    <w:rsid w:val="00263D38"/>
    <w:rsid w:val="00267911"/>
    <w:rsid w:val="002749EA"/>
    <w:rsid w:val="00274B09"/>
    <w:rsid w:val="0027683C"/>
    <w:rsid w:val="002806AD"/>
    <w:rsid w:val="00287AC2"/>
    <w:rsid w:val="00287F86"/>
    <w:rsid w:val="00296C06"/>
    <w:rsid w:val="00297FA3"/>
    <w:rsid w:val="002A028D"/>
    <w:rsid w:val="002A30C7"/>
    <w:rsid w:val="002B1F36"/>
    <w:rsid w:val="002B7392"/>
    <w:rsid w:val="002C0C1F"/>
    <w:rsid w:val="002C3022"/>
    <w:rsid w:val="002C5738"/>
    <w:rsid w:val="002C6AE8"/>
    <w:rsid w:val="002D15AB"/>
    <w:rsid w:val="002D31DF"/>
    <w:rsid w:val="002D6F0B"/>
    <w:rsid w:val="002F1E18"/>
    <w:rsid w:val="002F2050"/>
    <w:rsid w:val="002F401C"/>
    <w:rsid w:val="002F5B9F"/>
    <w:rsid w:val="002F6EAB"/>
    <w:rsid w:val="002F74E1"/>
    <w:rsid w:val="00317C86"/>
    <w:rsid w:val="00321EAF"/>
    <w:rsid w:val="00322908"/>
    <w:rsid w:val="003231B7"/>
    <w:rsid w:val="00324F6B"/>
    <w:rsid w:val="003265C1"/>
    <w:rsid w:val="00330025"/>
    <w:rsid w:val="00331339"/>
    <w:rsid w:val="00331F5C"/>
    <w:rsid w:val="0033303F"/>
    <w:rsid w:val="00333EA9"/>
    <w:rsid w:val="0034281D"/>
    <w:rsid w:val="00353369"/>
    <w:rsid w:val="003567E9"/>
    <w:rsid w:val="003616A9"/>
    <w:rsid w:val="00361E7F"/>
    <w:rsid w:val="00362354"/>
    <w:rsid w:val="003666AD"/>
    <w:rsid w:val="0037342D"/>
    <w:rsid w:val="00375D65"/>
    <w:rsid w:val="003773D8"/>
    <w:rsid w:val="003818AA"/>
    <w:rsid w:val="003878A8"/>
    <w:rsid w:val="00394F15"/>
    <w:rsid w:val="003966F0"/>
    <w:rsid w:val="003A5EBB"/>
    <w:rsid w:val="003A75DC"/>
    <w:rsid w:val="003B69EE"/>
    <w:rsid w:val="003C19B5"/>
    <w:rsid w:val="003D0E06"/>
    <w:rsid w:val="003D4D9D"/>
    <w:rsid w:val="003D524F"/>
    <w:rsid w:val="003F081E"/>
    <w:rsid w:val="003F2251"/>
    <w:rsid w:val="003F5C00"/>
    <w:rsid w:val="00402BDC"/>
    <w:rsid w:val="0040460C"/>
    <w:rsid w:val="00405EE9"/>
    <w:rsid w:val="00407CAA"/>
    <w:rsid w:val="00407EFF"/>
    <w:rsid w:val="00413E92"/>
    <w:rsid w:val="00414B18"/>
    <w:rsid w:val="00414E91"/>
    <w:rsid w:val="0041531C"/>
    <w:rsid w:val="00417743"/>
    <w:rsid w:val="004238D9"/>
    <w:rsid w:val="00423949"/>
    <w:rsid w:val="00424EA5"/>
    <w:rsid w:val="00425F16"/>
    <w:rsid w:val="004265AC"/>
    <w:rsid w:val="004268A3"/>
    <w:rsid w:val="00433489"/>
    <w:rsid w:val="00434994"/>
    <w:rsid w:val="00435099"/>
    <w:rsid w:val="0043543A"/>
    <w:rsid w:val="00442681"/>
    <w:rsid w:val="0044574D"/>
    <w:rsid w:val="004460F0"/>
    <w:rsid w:val="0044754A"/>
    <w:rsid w:val="00447EF5"/>
    <w:rsid w:val="00455E98"/>
    <w:rsid w:val="00456FC1"/>
    <w:rsid w:val="0045740B"/>
    <w:rsid w:val="00460B64"/>
    <w:rsid w:val="00460D32"/>
    <w:rsid w:val="00462F49"/>
    <w:rsid w:val="0046515B"/>
    <w:rsid w:val="00466939"/>
    <w:rsid w:val="00471ED7"/>
    <w:rsid w:val="00472A00"/>
    <w:rsid w:val="00475E62"/>
    <w:rsid w:val="00495650"/>
    <w:rsid w:val="00495F83"/>
    <w:rsid w:val="004A089C"/>
    <w:rsid w:val="004A0A74"/>
    <w:rsid w:val="004A0BB5"/>
    <w:rsid w:val="004A14F0"/>
    <w:rsid w:val="004A693F"/>
    <w:rsid w:val="004A7CCE"/>
    <w:rsid w:val="004B1DDA"/>
    <w:rsid w:val="004B6EB8"/>
    <w:rsid w:val="004C042A"/>
    <w:rsid w:val="004C1850"/>
    <w:rsid w:val="004C3B4C"/>
    <w:rsid w:val="004E0497"/>
    <w:rsid w:val="004E258E"/>
    <w:rsid w:val="004E31FF"/>
    <w:rsid w:val="004E7CF2"/>
    <w:rsid w:val="004F3368"/>
    <w:rsid w:val="004F39A3"/>
    <w:rsid w:val="004F696C"/>
    <w:rsid w:val="00501C16"/>
    <w:rsid w:val="00502560"/>
    <w:rsid w:val="00505D1A"/>
    <w:rsid w:val="00506369"/>
    <w:rsid w:val="005150BD"/>
    <w:rsid w:val="0051683E"/>
    <w:rsid w:val="0052430C"/>
    <w:rsid w:val="005246A7"/>
    <w:rsid w:val="00526276"/>
    <w:rsid w:val="00527D42"/>
    <w:rsid w:val="00535A97"/>
    <w:rsid w:val="00535B5B"/>
    <w:rsid w:val="00535E92"/>
    <w:rsid w:val="0054189F"/>
    <w:rsid w:val="00542FDD"/>
    <w:rsid w:val="00543631"/>
    <w:rsid w:val="00545376"/>
    <w:rsid w:val="005454C2"/>
    <w:rsid w:val="005462F7"/>
    <w:rsid w:val="00550236"/>
    <w:rsid w:val="0055560E"/>
    <w:rsid w:val="00556279"/>
    <w:rsid w:val="00556E05"/>
    <w:rsid w:val="0056177C"/>
    <w:rsid w:val="00574351"/>
    <w:rsid w:val="0057589C"/>
    <w:rsid w:val="00580478"/>
    <w:rsid w:val="005827B6"/>
    <w:rsid w:val="0058367A"/>
    <w:rsid w:val="00590703"/>
    <w:rsid w:val="005921E8"/>
    <w:rsid w:val="005930F2"/>
    <w:rsid w:val="0059597E"/>
    <w:rsid w:val="00596314"/>
    <w:rsid w:val="005A23DE"/>
    <w:rsid w:val="005A5477"/>
    <w:rsid w:val="005A5514"/>
    <w:rsid w:val="005B0584"/>
    <w:rsid w:val="005B3461"/>
    <w:rsid w:val="005B5280"/>
    <w:rsid w:val="005D01C3"/>
    <w:rsid w:val="005D1ABF"/>
    <w:rsid w:val="005D2CC7"/>
    <w:rsid w:val="005D330C"/>
    <w:rsid w:val="005D3A3F"/>
    <w:rsid w:val="005D5304"/>
    <w:rsid w:val="005D7438"/>
    <w:rsid w:val="005D7D5F"/>
    <w:rsid w:val="005E107A"/>
    <w:rsid w:val="005E1CB1"/>
    <w:rsid w:val="005F0731"/>
    <w:rsid w:val="005F1E32"/>
    <w:rsid w:val="00613C50"/>
    <w:rsid w:val="00615CDE"/>
    <w:rsid w:val="00617315"/>
    <w:rsid w:val="00621157"/>
    <w:rsid w:val="0062154D"/>
    <w:rsid w:val="006221EC"/>
    <w:rsid w:val="00623727"/>
    <w:rsid w:val="00623D3E"/>
    <w:rsid w:val="00625F0A"/>
    <w:rsid w:val="00642E10"/>
    <w:rsid w:val="0064566D"/>
    <w:rsid w:val="00650D5E"/>
    <w:rsid w:val="00653D73"/>
    <w:rsid w:val="006555E9"/>
    <w:rsid w:val="00656CE1"/>
    <w:rsid w:val="00656EB7"/>
    <w:rsid w:val="0065785B"/>
    <w:rsid w:val="0066054D"/>
    <w:rsid w:val="00663AB3"/>
    <w:rsid w:val="00666864"/>
    <w:rsid w:val="00680AC7"/>
    <w:rsid w:val="00692DE1"/>
    <w:rsid w:val="00696513"/>
    <w:rsid w:val="006A236D"/>
    <w:rsid w:val="006A5E3C"/>
    <w:rsid w:val="006B23EC"/>
    <w:rsid w:val="006B2CF8"/>
    <w:rsid w:val="006C0376"/>
    <w:rsid w:val="006C68EE"/>
    <w:rsid w:val="006C6D9A"/>
    <w:rsid w:val="006D3FA2"/>
    <w:rsid w:val="006D51EF"/>
    <w:rsid w:val="006D5EA2"/>
    <w:rsid w:val="006D7E8B"/>
    <w:rsid w:val="006E0C52"/>
    <w:rsid w:val="006E0D46"/>
    <w:rsid w:val="006E0FB9"/>
    <w:rsid w:val="006E45C2"/>
    <w:rsid w:val="006F468F"/>
    <w:rsid w:val="006F5551"/>
    <w:rsid w:val="00711BEC"/>
    <w:rsid w:val="00712627"/>
    <w:rsid w:val="00715DF5"/>
    <w:rsid w:val="007160D1"/>
    <w:rsid w:val="007171A3"/>
    <w:rsid w:val="0071776C"/>
    <w:rsid w:val="00725557"/>
    <w:rsid w:val="00731C44"/>
    <w:rsid w:val="007339E2"/>
    <w:rsid w:val="00734130"/>
    <w:rsid w:val="007428C5"/>
    <w:rsid w:val="00747415"/>
    <w:rsid w:val="00757A37"/>
    <w:rsid w:val="00763EF3"/>
    <w:rsid w:val="0076748E"/>
    <w:rsid w:val="0077778C"/>
    <w:rsid w:val="0078449D"/>
    <w:rsid w:val="00791DAD"/>
    <w:rsid w:val="007A546F"/>
    <w:rsid w:val="007A7734"/>
    <w:rsid w:val="007B485A"/>
    <w:rsid w:val="007C047A"/>
    <w:rsid w:val="007D23E8"/>
    <w:rsid w:val="007D79B0"/>
    <w:rsid w:val="007F62F3"/>
    <w:rsid w:val="00802703"/>
    <w:rsid w:val="00806495"/>
    <w:rsid w:val="008135D4"/>
    <w:rsid w:val="00816DCD"/>
    <w:rsid w:val="00821E6D"/>
    <w:rsid w:val="008241C3"/>
    <w:rsid w:val="00824571"/>
    <w:rsid w:val="008252F7"/>
    <w:rsid w:val="00825432"/>
    <w:rsid w:val="00840F0E"/>
    <w:rsid w:val="0084365C"/>
    <w:rsid w:val="008505FA"/>
    <w:rsid w:val="00850FF4"/>
    <w:rsid w:val="00853E0D"/>
    <w:rsid w:val="00862794"/>
    <w:rsid w:val="008672AD"/>
    <w:rsid w:val="00871AB5"/>
    <w:rsid w:val="00873B55"/>
    <w:rsid w:val="008809F1"/>
    <w:rsid w:val="008827FF"/>
    <w:rsid w:val="00891C3E"/>
    <w:rsid w:val="00893F27"/>
    <w:rsid w:val="008A1F1E"/>
    <w:rsid w:val="008A3D0F"/>
    <w:rsid w:val="008A4E76"/>
    <w:rsid w:val="008B30DF"/>
    <w:rsid w:val="008B7632"/>
    <w:rsid w:val="008C4041"/>
    <w:rsid w:val="008C4261"/>
    <w:rsid w:val="008D3E5F"/>
    <w:rsid w:val="008E1A13"/>
    <w:rsid w:val="008E29E1"/>
    <w:rsid w:val="008E6362"/>
    <w:rsid w:val="008F0487"/>
    <w:rsid w:val="00901A18"/>
    <w:rsid w:val="0090721F"/>
    <w:rsid w:val="00911BC6"/>
    <w:rsid w:val="0091429A"/>
    <w:rsid w:val="00921EA0"/>
    <w:rsid w:val="00922759"/>
    <w:rsid w:val="009232FC"/>
    <w:rsid w:val="009255BE"/>
    <w:rsid w:val="009312EF"/>
    <w:rsid w:val="00932886"/>
    <w:rsid w:val="00932DBB"/>
    <w:rsid w:val="00934BA1"/>
    <w:rsid w:val="00940B07"/>
    <w:rsid w:val="009510E6"/>
    <w:rsid w:val="009525BC"/>
    <w:rsid w:val="00952EFB"/>
    <w:rsid w:val="0095590D"/>
    <w:rsid w:val="00957C3D"/>
    <w:rsid w:val="009644C6"/>
    <w:rsid w:val="00966CE5"/>
    <w:rsid w:val="00970AA2"/>
    <w:rsid w:val="00973BEE"/>
    <w:rsid w:val="009751A2"/>
    <w:rsid w:val="009768E2"/>
    <w:rsid w:val="009818AD"/>
    <w:rsid w:val="00981FDC"/>
    <w:rsid w:val="0098262D"/>
    <w:rsid w:val="00985106"/>
    <w:rsid w:val="009857C1"/>
    <w:rsid w:val="00986A8C"/>
    <w:rsid w:val="00986DB1"/>
    <w:rsid w:val="00990027"/>
    <w:rsid w:val="009901E7"/>
    <w:rsid w:val="00990AB2"/>
    <w:rsid w:val="00991F28"/>
    <w:rsid w:val="009974D2"/>
    <w:rsid w:val="009A3C00"/>
    <w:rsid w:val="009A7FDC"/>
    <w:rsid w:val="009B3455"/>
    <w:rsid w:val="009B358E"/>
    <w:rsid w:val="009B6072"/>
    <w:rsid w:val="009C5BB3"/>
    <w:rsid w:val="009C7F0B"/>
    <w:rsid w:val="009D1160"/>
    <w:rsid w:val="009D272E"/>
    <w:rsid w:val="009D71F3"/>
    <w:rsid w:val="009E246A"/>
    <w:rsid w:val="009E7626"/>
    <w:rsid w:val="009F1AAD"/>
    <w:rsid w:val="009F1DB7"/>
    <w:rsid w:val="009F6F85"/>
    <w:rsid w:val="00A00609"/>
    <w:rsid w:val="00A03312"/>
    <w:rsid w:val="00A058BF"/>
    <w:rsid w:val="00A113A4"/>
    <w:rsid w:val="00A11450"/>
    <w:rsid w:val="00A11550"/>
    <w:rsid w:val="00A13709"/>
    <w:rsid w:val="00A1633E"/>
    <w:rsid w:val="00A21F89"/>
    <w:rsid w:val="00A221F7"/>
    <w:rsid w:val="00A26CEA"/>
    <w:rsid w:val="00A41BE9"/>
    <w:rsid w:val="00A43332"/>
    <w:rsid w:val="00A51955"/>
    <w:rsid w:val="00A61868"/>
    <w:rsid w:val="00A639BC"/>
    <w:rsid w:val="00A7187B"/>
    <w:rsid w:val="00A761B6"/>
    <w:rsid w:val="00A77BD3"/>
    <w:rsid w:val="00A819D3"/>
    <w:rsid w:val="00A862CB"/>
    <w:rsid w:val="00A87928"/>
    <w:rsid w:val="00A91532"/>
    <w:rsid w:val="00A95DC8"/>
    <w:rsid w:val="00A97FBA"/>
    <w:rsid w:val="00AA4091"/>
    <w:rsid w:val="00AA5E63"/>
    <w:rsid w:val="00AA611B"/>
    <w:rsid w:val="00AA67EE"/>
    <w:rsid w:val="00AA707B"/>
    <w:rsid w:val="00AB0194"/>
    <w:rsid w:val="00AC0D48"/>
    <w:rsid w:val="00AC24BD"/>
    <w:rsid w:val="00AC61ED"/>
    <w:rsid w:val="00AD3C2E"/>
    <w:rsid w:val="00AD6C90"/>
    <w:rsid w:val="00AD76A2"/>
    <w:rsid w:val="00AE482A"/>
    <w:rsid w:val="00AE57A9"/>
    <w:rsid w:val="00AE5CFD"/>
    <w:rsid w:val="00AF1030"/>
    <w:rsid w:val="00AF180D"/>
    <w:rsid w:val="00AF6F23"/>
    <w:rsid w:val="00AF7762"/>
    <w:rsid w:val="00B005BE"/>
    <w:rsid w:val="00B02BCB"/>
    <w:rsid w:val="00B048DF"/>
    <w:rsid w:val="00B05B09"/>
    <w:rsid w:val="00B10718"/>
    <w:rsid w:val="00B168A6"/>
    <w:rsid w:val="00B2012F"/>
    <w:rsid w:val="00B32099"/>
    <w:rsid w:val="00B349A4"/>
    <w:rsid w:val="00B35146"/>
    <w:rsid w:val="00B35544"/>
    <w:rsid w:val="00B37370"/>
    <w:rsid w:val="00B409B8"/>
    <w:rsid w:val="00B41848"/>
    <w:rsid w:val="00B447E3"/>
    <w:rsid w:val="00B45B2D"/>
    <w:rsid w:val="00B54146"/>
    <w:rsid w:val="00B5497A"/>
    <w:rsid w:val="00B57E8A"/>
    <w:rsid w:val="00B60948"/>
    <w:rsid w:val="00B61B6B"/>
    <w:rsid w:val="00B6350B"/>
    <w:rsid w:val="00B63A2B"/>
    <w:rsid w:val="00B7040F"/>
    <w:rsid w:val="00B80E34"/>
    <w:rsid w:val="00B816BC"/>
    <w:rsid w:val="00B97CF7"/>
    <w:rsid w:val="00BA46DF"/>
    <w:rsid w:val="00BA4B28"/>
    <w:rsid w:val="00BA7CEA"/>
    <w:rsid w:val="00BB25D5"/>
    <w:rsid w:val="00BB33E9"/>
    <w:rsid w:val="00BB4191"/>
    <w:rsid w:val="00BB7ABC"/>
    <w:rsid w:val="00BC022B"/>
    <w:rsid w:val="00BC56AA"/>
    <w:rsid w:val="00BD534E"/>
    <w:rsid w:val="00BE65ED"/>
    <w:rsid w:val="00BE738F"/>
    <w:rsid w:val="00BF2B8A"/>
    <w:rsid w:val="00BF375D"/>
    <w:rsid w:val="00C01AC6"/>
    <w:rsid w:val="00C136F4"/>
    <w:rsid w:val="00C17D0D"/>
    <w:rsid w:val="00C302ED"/>
    <w:rsid w:val="00C33C1B"/>
    <w:rsid w:val="00C33CEA"/>
    <w:rsid w:val="00C445FE"/>
    <w:rsid w:val="00C455B3"/>
    <w:rsid w:val="00C46189"/>
    <w:rsid w:val="00C618D7"/>
    <w:rsid w:val="00C6628B"/>
    <w:rsid w:val="00C70A98"/>
    <w:rsid w:val="00C724CC"/>
    <w:rsid w:val="00C80EFA"/>
    <w:rsid w:val="00C81CC2"/>
    <w:rsid w:val="00C853DF"/>
    <w:rsid w:val="00C9130B"/>
    <w:rsid w:val="00C941DF"/>
    <w:rsid w:val="00CA0F63"/>
    <w:rsid w:val="00CA4990"/>
    <w:rsid w:val="00CA5723"/>
    <w:rsid w:val="00CA63B2"/>
    <w:rsid w:val="00CB35D8"/>
    <w:rsid w:val="00CB4279"/>
    <w:rsid w:val="00CC24A0"/>
    <w:rsid w:val="00CC336E"/>
    <w:rsid w:val="00CC4D45"/>
    <w:rsid w:val="00CC7640"/>
    <w:rsid w:val="00CD0071"/>
    <w:rsid w:val="00CD01CB"/>
    <w:rsid w:val="00CD0EF8"/>
    <w:rsid w:val="00CD2E61"/>
    <w:rsid w:val="00CD69F5"/>
    <w:rsid w:val="00CE056C"/>
    <w:rsid w:val="00CE39F5"/>
    <w:rsid w:val="00CF1A9F"/>
    <w:rsid w:val="00CF310A"/>
    <w:rsid w:val="00CF44F6"/>
    <w:rsid w:val="00CF4CDA"/>
    <w:rsid w:val="00CF50CE"/>
    <w:rsid w:val="00CF5A30"/>
    <w:rsid w:val="00D030E3"/>
    <w:rsid w:val="00D0362C"/>
    <w:rsid w:val="00D03941"/>
    <w:rsid w:val="00D115CF"/>
    <w:rsid w:val="00D13F41"/>
    <w:rsid w:val="00D161B4"/>
    <w:rsid w:val="00D172D1"/>
    <w:rsid w:val="00D20312"/>
    <w:rsid w:val="00D24217"/>
    <w:rsid w:val="00D31E25"/>
    <w:rsid w:val="00D32758"/>
    <w:rsid w:val="00D3670B"/>
    <w:rsid w:val="00D36AE2"/>
    <w:rsid w:val="00D37574"/>
    <w:rsid w:val="00D37775"/>
    <w:rsid w:val="00D41135"/>
    <w:rsid w:val="00D43989"/>
    <w:rsid w:val="00D46BDA"/>
    <w:rsid w:val="00D51B26"/>
    <w:rsid w:val="00D657C4"/>
    <w:rsid w:val="00D666D8"/>
    <w:rsid w:val="00D678E3"/>
    <w:rsid w:val="00D7046F"/>
    <w:rsid w:val="00D7199F"/>
    <w:rsid w:val="00D754D8"/>
    <w:rsid w:val="00D76481"/>
    <w:rsid w:val="00D916B9"/>
    <w:rsid w:val="00D96150"/>
    <w:rsid w:val="00DA0603"/>
    <w:rsid w:val="00DA7DD9"/>
    <w:rsid w:val="00DB01CD"/>
    <w:rsid w:val="00DB782C"/>
    <w:rsid w:val="00DC7C7D"/>
    <w:rsid w:val="00DD16B7"/>
    <w:rsid w:val="00DD25DB"/>
    <w:rsid w:val="00DD265D"/>
    <w:rsid w:val="00DD3F8E"/>
    <w:rsid w:val="00DE16F6"/>
    <w:rsid w:val="00DE592B"/>
    <w:rsid w:val="00DF2BCA"/>
    <w:rsid w:val="00DF4498"/>
    <w:rsid w:val="00DF6653"/>
    <w:rsid w:val="00DF6A51"/>
    <w:rsid w:val="00E0598A"/>
    <w:rsid w:val="00E0680E"/>
    <w:rsid w:val="00E10254"/>
    <w:rsid w:val="00E13617"/>
    <w:rsid w:val="00E157E9"/>
    <w:rsid w:val="00E33E8B"/>
    <w:rsid w:val="00E42E47"/>
    <w:rsid w:val="00E4345B"/>
    <w:rsid w:val="00E451B3"/>
    <w:rsid w:val="00E52C47"/>
    <w:rsid w:val="00E6690B"/>
    <w:rsid w:val="00E7220D"/>
    <w:rsid w:val="00E74124"/>
    <w:rsid w:val="00E75119"/>
    <w:rsid w:val="00E7666F"/>
    <w:rsid w:val="00E7746E"/>
    <w:rsid w:val="00E81727"/>
    <w:rsid w:val="00E91CA9"/>
    <w:rsid w:val="00E92146"/>
    <w:rsid w:val="00E92A97"/>
    <w:rsid w:val="00E92AB1"/>
    <w:rsid w:val="00E978E9"/>
    <w:rsid w:val="00EA215C"/>
    <w:rsid w:val="00EA5E17"/>
    <w:rsid w:val="00EA6B69"/>
    <w:rsid w:val="00EB09CB"/>
    <w:rsid w:val="00EB1669"/>
    <w:rsid w:val="00EB1765"/>
    <w:rsid w:val="00EB3CBE"/>
    <w:rsid w:val="00EB4BB7"/>
    <w:rsid w:val="00EC5F85"/>
    <w:rsid w:val="00EC6A70"/>
    <w:rsid w:val="00ED29D4"/>
    <w:rsid w:val="00ED2C1B"/>
    <w:rsid w:val="00EE075E"/>
    <w:rsid w:val="00EE6B1C"/>
    <w:rsid w:val="00EF0756"/>
    <w:rsid w:val="00EF0F86"/>
    <w:rsid w:val="00EF34CE"/>
    <w:rsid w:val="00EF3C3F"/>
    <w:rsid w:val="00F057E0"/>
    <w:rsid w:val="00F05E52"/>
    <w:rsid w:val="00F103C9"/>
    <w:rsid w:val="00F119F4"/>
    <w:rsid w:val="00F13502"/>
    <w:rsid w:val="00F13817"/>
    <w:rsid w:val="00F13F8D"/>
    <w:rsid w:val="00F16898"/>
    <w:rsid w:val="00F21CAC"/>
    <w:rsid w:val="00F238BC"/>
    <w:rsid w:val="00F2491B"/>
    <w:rsid w:val="00F401DE"/>
    <w:rsid w:val="00F527D5"/>
    <w:rsid w:val="00F54DA7"/>
    <w:rsid w:val="00F566CB"/>
    <w:rsid w:val="00F5733F"/>
    <w:rsid w:val="00F6140B"/>
    <w:rsid w:val="00F703A9"/>
    <w:rsid w:val="00F8058D"/>
    <w:rsid w:val="00F86E3D"/>
    <w:rsid w:val="00F924B0"/>
    <w:rsid w:val="00F941A9"/>
    <w:rsid w:val="00F97131"/>
    <w:rsid w:val="00FA0671"/>
    <w:rsid w:val="00FA54A0"/>
    <w:rsid w:val="00FB43E7"/>
    <w:rsid w:val="00FC1F70"/>
    <w:rsid w:val="00FC4192"/>
    <w:rsid w:val="00FC4AC1"/>
    <w:rsid w:val="00FC7231"/>
    <w:rsid w:val="00FD470F"/>
    <w:rsid w:val="00FD5DB8"/>
    <w:rsid w:val="00FD694D"/>
    <w:rsid w:val="00FE1151"/>
    <w:rsid w:val="00FE2B1C"/>
    <w:rsid w:val="00FE3900"/>
    <w:rsid w:val="00FE3E1E"/>
    <w:rsid w:val="00FE4989"/>
    <w:rsid w:val="00FE4CCD"/>
    <w:rsid w:val="00FF0CA8"/>
    <w:rsid w:val="00FF570B"/>
    <w:rsid w:val="00FF66C0"/>
    <w:rsid w:val="00FF6CAA"/>
    <w:rsid w:val="00FF7011"/>
    <w:rsid w:val="00FF7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98B1"/>
  <w15:docId w15:val="{C155E99D-FA8B-4D02-9984-5801A75E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898"/>
    <w:pPr>
      <w:ind w:left="720"/>
      <w:contextualSpacing/>
    </w:pPr>
  </w:style>
  <w:style w:type="character" w:styleId="PlaceholderText">
    <w:name w:val="Placeholder Text"/>
    <w:basedOn w:val="DefaultParagraphFont"/>
    <w:uiPriority w:val="99"/>
    <w:semiHidden/>
    <w:rsid w:val="009768E2"/>
    <w:rPr>
      <w:color w:val="808080"/>
    </w:rPr>
  </w:style>
  <w:style w:type="paragraph" w:styleId="Header">
    <w:name w:val="header"/>
    <w:basedOn w:val="Normal"/>
    <w:link w:val="HeaderChar"/>
    <w:uiPriority w:val="99"/>
    <w:unhideWhenUsed/>
    <w:rsid w:val="00545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4C2"/>
  </w:style>
  <w:style w:type="paragraph" w:styleId="Footer">
    <w:name w:val="footer"/>
    <w:basedOn w:val="Normal"/>
    <w:link w:val="FooterChar"/>
    <w:uiPriority w:val="99"/>
    <w:unhideWhenUsed/>
    <w:rsid w:val="00545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4C2"/>
  </w:style>
  <w:style w:type="paragraph" w:styleId="BalloonText">
    <w:name w:val="Balloon Text"/>
    <w:basedOn w:val="Normal"/>
    <w:link w:val="BalloonTextChar"/>
    <w:uiPriority w:val="99"/>
    <w:semiHidden/>
    <w:unhideWhenUsed/>
    <w:rsid w:val="0095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BC"/>
    <w:rPr>
      <w:rFonts w:ascii="Tahoma" w:hAnsi="Tahoma" w:cs="Tahoma"/>
      <w:sz w:val="16"/>
      <w:szCs w:val="16"/>
    </w:rPr>
  </w:style>
  <w:style w:type="character" w:styleId="Hyperlink">
    <w:name w:val="Hyperlink"/>
    <w:basedOn w:val="DefaultParagraphFont"/>
    <w:uiPriority w:val="99"/>
    <w:unhideWhenUsed/>
    <w:rsid w:val="00A11550"/>
    <w:rPr>
      <w:color w:val="0563C1" w:themeColor="hyperlink"/>
      <w:u w:val="single"/>
    </w:rPr>
  </w:style>
  <w:style w:type="character" w:styleId="UnresolvedMention">
    <w:name w:val="Unresolved Mention"/>
    <w:basedOn w:val="DefaultParagraphFont"/>
    <w:uiPriority w:val="99"/>
    <w:semiHidden/>
    <w:unhideWhenUsed/>
    <w:rsid w:val="00A1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93819">
      <w:bodyDiv w:val="1"/>
      <w:marLeft w:val="0"/>
      <w:marRight w:val="0"/>
      <w:marTop w:val="0"/>
      <w:marBottom w:val="0"/>
      <w:divBdr>
        <w:top w:val="none" w:sz="0" w:space="0" w:color="auto"/>
        <w:left w:val="none" w:sz="0" w:space="0" w:color="auto"/>
        <w:bottom w:val="none" w:sz="0" w:space="0" w:color="auto"/>
        <w:right w:val="none" w:sz="0" w:space="0" w:color="auto"/>
      </w:divBdr>
      <w:divsChild>
        <w:div w:id="1029379284">
          <w:marLeft w:val="0"/>
          <w:marRight w:val="0"/>
          <w:marTop w:val="0"/>
          <w:marBottom w:val="0"/>
          <w:divBdr>
            <w:top w:val="none" w:sz="0" w:space="0" w:color="auto"/>
            <w:left w:val="none" w:sz="0" w:space="0" w:color="auto"/>
            <w:bottom w:val="none" w:sz="0" w:space="0" w:color="auto"/>
            <w:right w:val="none" w:sz="0" w:space="0" w:color="auto"/>
          </w:divBdr>
        </w:div>
        <w:div w:id="52332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meastenergy.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7066-CF39-4D60-B9C1-934CF2F6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Septimiu Rusu</dc:creator>
  <cp:lastModifiedBy>Ion Lupulescu</cp:lastModifiedBy>
  <cp:revision>3</cp:revision>
  <dcterms:created xsi:type="dcterms:W3CDTF">2025-01-27T10:40:00Z</dcterms:created>
  <dcterms:modified xsi:type="dcterms:W3CDTF">2025-01-27T11:04:00Z</dcterms:modified>
</cp:coreProperties>
</file>